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60" w:lineRule="exact"/>
        <w:jc w:val="left"/>
        <w:textAlignment w:val="auto"/>
        <w:rPr>
          <w:rFonts w:hint="eastAsia" w:ascii="黑体" w:hAnsi="黑体" w:eastAsia="黑体" w:cs="黑体"/>
          <w:sz w:val="32"/>
          <w:szCs w:val="32"/>
        </w:rPr>
      </w:pPr>
      <w:bookmarkStart w:id="0" w:name="OLE_LINK4"/>
      <w:bookmarkStart w:id="1" w:name="_Toc465598786"/>
      <w:bookmarkStart w:id="2" w:name="_Toc464834046"/>
      <w:r>
        <w:rPr>
          <w:rFonts w:hint="eastAsia" w:ascii="黑体" w:hAnsi="黑体" w:eastAsia="黑体" w:cs="黑体"/>
          <w:sz w:val="32"/>
          <w:szCs w:val="32"/>
        </w:rPr>
        <w:t>附件1</w:t>
      </w:r>
    </w:p>
    <w:p>
      <w:pPr>
        <w:keepNext w:val="0"/>
        <w:keepLines w:val="0"/>
        <w:pageBreakBefore w:val="0"/>
        <w:widowControl w:val="0"/>
        <w:kinsoku/>
        <w:wordWrap/>
        <w:topLinePunct w:val="0"/>
        <w:autoSpaceDE/>
        <w:autoSpaceDN/>
        <w:bidi w:val="0"/>
        <w:adjustRightInd/>
        <w:snapToGrid/>
        <w:spacing w:line="700" w:lineRule="exact"/>
        <w:jc w:val="left"/>
        <w:textAlignment w:val="auto"/>
        <w:rPr>
          <w:rFonts w:hint="eastAsia" w:ascii="Times New Roman" w:hAnsi="Times New Roman" w:eastAsia="仿宋"/>
          <w:color w:val="000000"/>
          <w:sz w:val="44"/>
          <w:szCs w:val="44"/>
        </w:rPr>
      </w:pPr>
    </w:p>
    <w:p>
      <w:pPr>
        <w:keepNext w:val="0"/>
        <w:keepLines w:val="0"/>
        <w:pageBreakBefore w:val="0"/>
        <w:widowControl w:val="0"/>
        <w:kinsoku/>
        <w:wordWrap/>
        <w:topLinePunct w:val="0"/>
        <w:autoSpaceDE/>
        <w:autoSpaceDN/>
        <w:bidi w:val="0"/>
        <w:adjustRightInd/>
        <w:snapToGrid/>
        <w:spacing w:line="700" w:lineRule="exact"/>
        <w:jc w:val="left"/>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360" w:lineRule="auto"/>
        <w:jc w:val="center"/>
        <w:textAlignment w:val="auto"/>
        <w:rPr>
          <w:rFonts w:hint="eastAsia" w:ascii="方正小标宋简体" w:hAnsi="Times New Roman" w:eastAsia="方正小标宋简体"/>
          <w:bCs/>
          <w:color w:val="000000"/>
          <w:spacing w:val="0"/>
          <w:sz w:val="56"/>
          <w:szCs w:val="56"/>
        </w:rPr>
      </w:pPr>
      <w:r>
        <w:rPr>
          <w:rFonts w:hint="eastAsia" w:ascii="方正小标宋简体" w:hAnsi="Times New Roman" w:eastAsia="方正小标宋简体"/>
          <w:bCs/>
          <w:color w:val="000000"/>
          <w:spacing w:val="0"/>
          <w:sz w:val="56"/>
          <w:szCs w:val="56"/>
        </w:rPr>
        <w:t>“十四五”广西科技重大专项</w:t>
      </w:r>
    </w:p>
    <w:p>
      <w:pPr>
        <w:keepNext w:val="0"/>
        <w:keepLines w:val="0"/>
        <w:pageBreakBefore w:val="0"/>
        <w:widowControl w:val="0"/>
        <w:kinsoku/>
        <w:wordWrap/>
        <w:overflowPunct w:val="0"/>
        <w:topLinePunct w:val="0"/>
        <w:autoSpaceDE/>
        <w:autoSpaceDN/>
        <w:bidi w:val="0"/>
        <w:adjustRightInd/>
        <w:snapToGrid/>
        <w:spacing w:line="360" w:lineRule="auto"/>
        <w:jc w:val="center"/>
        <w:textAlignment w:val="auto"/>
        <w:rPr>
          <w:rFonts w:hint="eastAsia" w:ascii="方正小标宋简体" w:hAnsi="Times New Roman" w:eastAsia="方正小标宋简体"/>
          <w:bCs/>
          <w:color w:val="000000"/>
          <w:spacing w:val="0"/>
          <w:sz w:val="56"/>
          <w:szCs w:val="56"/>
        </w:rPr>
      </w:pPr>
      <w:r>
        <w:rPr>
          <w:rFonts w:hint="eastAsia" w:ascii="方正小标宋简体" w:hAnsi="Times New Roman" w:eastAsia="方正小标宋简体"/>
          <w:bCs/>
          <w:color w:val="000000"/>
          <w:spacing w:val="0"/>
          <w:sz w:val="56"/>
          <w:szCs w:val="56"/>
        </w:rPr>
        <w:t>2021年第一批项目申报指南</w:t>
      </w: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20" w:lineRule="exact"/>
        <w:jc w:val="both"/>
        <w:textAlignment w:val="auto"/>
        <w:rPr>
          <w:rFonts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360" w:lineRule="auto"/>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500" w:lineRule="exact"/>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500" w:lineRule="exact"/>
        <w:jc w:val="both"/>
        <w:textAlignment w:val="auto"/>
        <w:rPr>
          <w:rFonts w:hint="eastAsia" w:ascii="Times New Roman" w:hAnsi="Times New Roman" w:eastAsia="仿宋"/>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ascii="Times New Roman" w:hAnsi="Times New Roman" w:eastAsia="楷体_GB2312"/>
          <w:b/>
          <w:color w:val="000000"/>
          <w:sz w:val="34"/>
          <w:szCs w:val="34"/>
        </w:rPr>
      </w:pPr>
      <w:r>
        <w:rPr>
          <w:rFonts w:hint="eastAsia" w:ascii="Times New Roman" w:hAnsi="Times New Roman" w:eastAsia="楷体_GB2312"/>
          <w:b/>
          <w:color w:val="000000"/>
          <w:sz w:val="34"/>
          <w:szCs w:val="34"/>
        </w:rPr>
        <w:t>广西壮族自治区科学技术厅</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ascii="Times New Roman" w:hAnsi="Times New Roman" w:eastAsia="楷体_GB2312"/>
          <w:b/>
          <w:color w:val="000000"/>
          <w:sz w:val="34"/>
          <w:szCs w:val="34"/>
        </w:rPr>
      </w:pPr>
      <w:r>
        <w:rPr>
          <w:rFonts w:hint="eastAsia" w:ascii="Times New Roman" w:hAnsi="Times New Roman" w:eastAsia="楷体_GB2312"/>
          <w:b/>
          <w:color w:val="000000"/>
          <w:sz w:val="34"/>
          <w:szCs w:val="34"/>
        </w:rPr>
        <w:t>广西壮族自治区科技创新发展办公室</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ascii="Times New Roman" w:hAnsi="Times New Roman" w:eastAsia="楷体_GB2312"/>
          <w:b/>
          <w:color w:val="000000"/>
          <w:sz w:val="34"/>
          <w:szCs w:val="34"/>
        </w:rPr>
      </w:pPr>
      <w:r>
        <w:rPr>
          <w:rFonts w:ascii="Times New Roman" w:hAnsi="Times New Roman" w:eastAsia="楷体_GB2312"/>
          <w:b/>
          <w:color w:val="000000"/>
          <w:sz w:val="34"/>
          <w:szCs w:val="34"/>
        </w:rPr>
        <w:t>202</w:t>
      </w:r>
      <w:r>
        <w:rPr>
          <w:rFonts w:hint="eastAsia" w:ascii="Times New Roman" w:hAnsi="Times New Roman" w:eastAsia="楷体_GB2312"/>
          <w:b/>
          <w:color w:val="000000"/>
          <w:sz w:val="34"/>
          <w:szCs w:val="34"/>
        </w:rPr>
        <w:t>1年9月</w:t>
      </w:r>
    </w:p>
    <w:p>
      <w:pPr>
        <w:keepNext w:val="0"/>
        <w:keepLines w:val="0"/>
        <w:pageBreakBefore w:val="0"/>
        <w:widowControl w:val="0"/>
        <w:kinsoku/>
        <w:wordWrap/>
        <w:overflowPunct w:val="0"/>
        <w:topLinePunct w:val="0"/>
        <w:autoSpaceDE/>
        <w:autoSpaceDN/>
        <w:bidi w:val="0"/>
        <w:adjustRightInd/>
        <w:snapToGrid/>
        <w:spacing w:line="360" w:lineRule="auto"/>
        <w:textAlignment w:val="auto"/>
        <w:rPr>
          <w:rFonts w:ascii="Times New Roman" w:hAnsi="Times New Roman" w:eastAsia="仿宋"/>
          <w:b/>
          <w:color w:val="000000"/>
          <w:sz w:val="34"/>
          <w:szCs w:val="34"/>
        </w:rPr>
        <w:sectPr>
          <w:headerReference r:id="rId3" w:type="default"/>
          <w:footerReference r:id="rId4" w:type="default"/>
          <w:footerReference r:id="rId5" w:type="even"/>
          <w:pgSz w:w="11906" w:h="16838"/>
          <w:pgMar w:top="2098" w:right="1474" w:bottom="1417" w:left="1587" w:header="851" w:footer="1134" w:gutter="0"/>
          <w:pgNumType w:fmt="decimal" w:start="0"/>
          <w:cols w:space="720" w:num="1"/>
          <w:titlePg/>
          <w:docGrid w:type="lines" w:linePitch="435" w:charSpace="0"/>
        </w:sectPr>
      </w:pPr>
    </w:p>
    <w:bookmarkEnd w:id="0"/>
    <w:bookmarkEnd w:id="1"/>
    <w:bookmarkEnd w:id="2"/>
    <w:p>
      <w:pPr>
        <w:keepNext w:val="0"/>
        <w:keepLines w:val="0"/>
        <w:pageBreakBefore w:val="0"/>
        <w:widowControl w:val="0"/>
        <w:tabs>
          <w:tab w:val="right" w:leader="middleDot" w:pos="8834"/>
        </w:tabs>
        <w:kinsoku/>
        <w:wordWrap/>
        <w:topLinePunct w:val="0"/>
        <w:autoSpaceDE/>
        <w:autoSpaceDN/>
        <w:bidi w:val="0"/>
        <w:adjustRightInd/>
        <w:snapToGrid/>
        <w:spacing w:line="440" w:lineRule="exact"/>
        <w:jc w:val="left"/>
        <w:textAlignment w:val="auto"/>
        <w:rPr>
          <w:rFonts w:ascii="Times New Roman" w:hAnsi="Times New Roman"/>
          <w:b/>
          <w:bCs/>
          <w:caps/>
          <w:color w:val="000000"/>
          <w:sz w:val="22"/>
        </w:rPr>
      </w:pPr>
      <w:bookmarkStart w:id="3" w:name="_项目名单"/>
      <w:bookmarkEnd w:id="3"/>
      <w:bookmarkStart w:id="4" w:name="_项目分析"/>
      <w:bookmarkEnd w:id="4"/>
      <w:bookmarkStart w:id="5" w:name="_Toc2783069"/>
      <w:bookmarkStart w:id="6" w:name="_Toc26729629"/>
      <w:bookmarkStart w:id="7" w:name="_Toc2859645"/>
      <w:bookmarkStart w:id="8" w:name="_Toc26555101"/>
      <w:bookmarkStart w:id="9" w:name="_Toc4173342"/>
      <w:bookmarkStart w:id="10" w:name="_Toc1986717"/>
      <w:bookmarkStart w:id="11" w:name="_Toc6770"/>
      <w:bookmarkStart w:id="12" w:name="_Toc17626886"/>
      <w:bookmarkStart w:id="13" w:name="_Toc102"/>
      <w:bookmarkStart w:id="14" w:name="_Toc15384047"/>
      <w:bookmarkStart w:id="15" w:name="_Toc15049376"/>
      <w:bookmarkStart w:id="16" w:name="_Toc4146330"/>
      <w:bookmarkStart w:id="17" w:name="_Toc4146517"/>
      <w:bookmarkStart w:id="18" w:name="_Toc2668554"/>
      <w:bookmarkStart w:id="19" w:name="_Toc15384285"/>
      <w:bookmarkStart w:id="20" w:name="_Toc20119"/>
      <w:bookmarkStart w:id="21" w:name="_Toc15374416"/>
      <w:bookmarkStart w:id="22" w:name="_Toc15447"/>
      <w:bookmarkStart w:id="23" w:name="_Toc2675220"/>
      <w:bookmarkStart w:id="24" w:name="_Toc36547589"/>
      <w:bookmarkStart w:id="25" w:name="_Toc23933"/>
      <w:bookmarkStart w:id="26" w:name="_Toc40865000"/>
      <w:bookmarkStart w:id="27" w:name="_Toc36547641"/>
      <w:bookmarkStart w:id="28" w:name="_Toc2671881"/>
      <w:bookmarkStart w:id="29" w:name="_Toc17312980"/>
      <w:bookmarkStart w:id="30" w:name="_Toc2700511"/>
      <w:bookmarkStart w:id="31" w:name="_Toc17210554"/>
      <w:bookmarkStart w:id="32" w:name="_Toc514260448"/>
      <w:bookmarkStart w:id="33" w:name="_Toc20073"/>
      <w:bookmarkStart w:id="34" w:name="_Toc14444087"/>
      <w:bookmarkStart w:id="35" w:name="_Toc530145507"/>
      <w:bookmarkStart w:id="36" w:name="_Toc17473139"/>
      <w:bookmarkStart w:id="37" w:name="_Toc15384557"/>
      <w:bookmarkStart w:id="38" w:name="_Toc15383852"/>
      <w:bookmarkStart w:id="39" w:name="_Toc15405486"/>
      <w:bookmarkStart w:id="40" w:name="_Toc32164"/>
      <w:bookmarkStart w:id="41" w:name="_Toc20193"/>
      <w:bookmarkStart w:id="42" w:name="_Toc4144960"/>
      <w:bookmarkStart w:id="43" w:name="_Toc480814630"/>
      <w:bookmarkStart w:id="44" w:name="_Toc480789256"/>
      <w:bookmarkStart w:id="45" w:name="_Toc463691570"/>
    </w:p>
    <w:p>
      <w:pPr>
        <w:keepNext w:val="0"/>
        <w:keepLines w:val="0"/>
        <w:pageBreakBefore w:val="0"/>
        <w:widowControl w:val="0"/>
        <w:kinsoku/>
        <w:wordWrap/>
        <w:overflowPunct w:val="0"/>
        <w:topLinePunct w:val="0"/>
        <w:autoSpaceDE/>
        <w:autoSpaceDN/>
        <w:bidi w:val="0"/>
        <w:adjustRightInd/>
        <w:snapToGrid/>
        <w:spacing w:line="520" w:lineRule="exact"/>
        <w:jc w:val="center"/>
        <w:textAlignment w:val="auto"/>
        <w:outlineLvl w:val="0"/>
        <w:rPr>
          <w:rFonts w:hint="eastAsia" w:ascii="Times New Roman" w:hAnsi="Times New Roman" w:eastAsia="方正小标宋简体"/>
          <w:color w:val="000000"/>
          <w:kern w:val="0"/>
          <w:sz w:val="44"/>
          <w:szCs w:val="20"/>
        </w:rPr>
      </w:pPr>
      <w:bookmarkStart w:id="46" w:name="_Toc2137"/>
      <w:bookmarkStart w:id="47" w:name="_Toc28794"/>
      <w:bookmarkStart w:id="48" w:name="_Toc14376"/>
      <w:bookmarkStart w:id="49" w:name="_Toc48841536"/>
      <w:bookmarkStart w:id="50" w:name="_Toc7058"/>
      <w:bookmarkStart w:id="51" w:name="_Toc46995761"/>
      <w:bookmarkStart w:id="52" w:name="_Toc15827"/>
      <w:bookmarkStart w:id="53" w:name="_Toc48918421"/>
      <w:bookmarkStart w:id="54" w:name="_Toc13932"/>
      <w:bookmarkStart w:id="55" w:name="_Toc48201014"/>
      <w:bookmarkStart w:id="56" w:name="_Toc83570450"/>
      <w:bookmarkStart w:id="57" w:name="_Toc15997"/>
      <w:bookmarkStart w:id="58" w:name="_Toc18372"/>
      <w:bookmarkStart w:id="59" w:name="_Toc20171"/>
      <w:bookmarkStart w:id="60" w:name="_Toc48918461"/>
      <w:bookmarkStart w:id="61" w:name="_Toc46999616"/>
      <w:bookmarkStart w:id="62" w:name="_Toc48840545"/>
      <w:bookmarkStart w:id="63" w:name="_Toc42428717"/>
      <w:bookmarkStart w:id="64" w:name="_Toc48200813"/>
      <w:bookmarkStart w:id="65" w:name="_Toc31623"/>
      <w:bookmarkStart w:id="66" w:name="_Toc47607418"/>
      <w:bookmarkStart w:id="67" w:name="_Toc48231253"/>
      <w:r>
        <w:rPr>
          <w:rFonts w:hint="eastAsia" w:ascii="Times New Roman" w:hAnsi="Times New Roman" w:eastAsia="方正小标宋简体"/>
          <w:color w:val="000000"/>
          <w:kern w:val="0"/>
          <w:sz w:val="44"/>
          <w:szCs w:val="20"/>
        </w:rPr>
        <w:t>目</w:t>
      </w:r>
      <w:r>
        <w:rPr>
          <w:rFonts w:ascii="Times New Roman" w:hAnsi="Times New Roman" w:eastAsia="方正小标宋简体"/>
          <w:color w:val="000000"/>
          <w:kern w:val="0"/>
          <w:sz w:val="44"/>
          <w:szCs w:val="20"/>
        </w:rPr>
        <w:t xml:space="preserve"> </w:t>
      </w:r>
      <w:r>
        <w:rPr>
          <w:rFonts w:hint="eastAsia" w:ascii="Times New Roman" w:hAnsi="Times New Roman" w:eastAsia="方正小标宋简体"/>
          <w:color w:val="000000"/>
          <w:kern w:val="0"/>
          <w:sz w:val="44"/>
          <w:szCs w:val="20"/>
        </w:rPr>
        <w:t xml:space="preserve"> </w:t>
      </w:r>
      <w:r>
        <w:rPr>
          <w:rFonts w:ascii="Times New Roman" w:hAnsi="Times New Roman" w:eastAsia="方正小标宋简体"/>
          <w:color w:val="000000"/>
          <w:kern w:val="0"/>
          <w:sz w:val="44"/>
          <w:szCs w:val="20"/>
        </w:rPr>
        <w:t xml:space="preserve"> </w:t>
      </w:r>
      <w:r>
        <w:rPr>
          <w:rFonts w:hint="eastAsia" w:ascii="Times New Roman" w:hAnsi="Times New Roman" w:eastAsia="方正小标宋简体"/>
          <w:color w:val="000000"/>
          <w:kern w:val="0"/>
          <w:sz w:val="44"/>
          <w:szCs w:val="20"/>
        </w:rPr>
        <w:t>录</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keepNext w:val="0"/>
        <w:keepLines w:val="0"/>
        <w:pageBreakBefore w:val="0"/>
        <w:widowControl w:val="0"/>
        <w:kinsoku/>
        <w:wordWrap/>
        <w:overflowPunct w:val="0"/>
        <w:topLinePunct w:val="0"/>
        <w:autoSpaceDE/>
        <w:autoSpaceDN/>
        <w:bidi w:val="0"/>
        <w:adjustRightInd/>
        <w:snapToGrid/>
        <w:spacing w:line="520" w:lineRule="exact"/>
        <w:jc w:val="both"/>
        <w:textAlignment w:val="auto"/>
        <w:outlineLvl w:val="0"/>
        <w:rPr>
          <w:rFonts w:hint="eastAsia" w:ascii="Times New Roman" w:hAnsi="Times New Roman" w:eastAsia="方正小标宋简体"/>
          <w:color w:val="000000"/>
          <w:kern w:val="0"/>
          <w:sz w:val="44"/>
          <w:szCs w:val="20"/>
        </w:rPr>
      </w:pP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Fonts w:eastAsia="仿宋_GB2312"/>
          <w:b w:val="0"/>
          <w:bCs w:val="0"/>
          <w:caps w:val="0"/>
          <w:color w:val="000000"/>
          <w:sz w:val="24"/>
          <w:szCs w:val="24"/>
        </w:rPr>
        <w:fldChar w:fldCharType="begin"/>
      </w:r>
      <w:r>
        <w:rPr>
          <w:rFonts w:eastAsia="仿宋_GB2312"/>
          <w:b w:val="0"/>
          <w:bCs w:val="0"/>
          <w:caps w:val="0"/>
          <w:color w:val="000000"/>
          <w:sz w:val="24"/>
          <w:szCs w:val="24"/>
        </w:rPr>
        <w:instrText xml:space="preserve"> TOC \o "1-3" \h \z \u </w:instrText>
      </w:r>
      <w:r>
        <w:rPr>
          <w:rFonts w:eastAsia="仿宋_GB2312"/>
          <w:b w:val="0"/>
          <w:bCs w:val="0"/>
          <w:caps w:val="0"/>
          <w:color w:val="000000"/>
          <w:sz w:val="24"/>
          <w:szCs w:val="24"/>
        </w:rPr>
        <w:fldChar w:fldCharType="separate"/>
      </w:r>
      <w:r>
        <w:rPr>
          <w:rStyle w:val="10"/>
        </w:rPr>
        <w:fldChar w:fldCharType="begin"/>
      </w:r>
      <w:r>
        <w:rPr>
          <w:rStyle w:val="10"/>
        </w:rPr>
        <w:instrText xml:space="preserve"> </w:instrText>
      </w:r>
      <w:r>
        <w:instrText xml:space="preserve">HYPERLINK \l "_Toc83570450"</w:instrText>
      </w:r>
      <w:r>
        <w:rPr>
          <w:rStyle w:val="10"/>
        </w:rPr>
        <w:instrText xml:space="preserve"> </w:instrText>
      </w:r>
      <w:r>
        <w:rPr>
          <w:rStyle w:val="10"/>
        </w:rPr>
        <w:fldChar w:fldCharType="separate"/>
      </w:r>
      <w:r>
        <w:rPr>
          <w:rStyle w:val="10"/>
          <w:rFonts w:hint="eastAsia" w:eastAsia="方正小标宋简体"/>
          <w:kern w:val="0"/>
        </w:rPr>
        <w:t>目</w:t>
      </w:r>
      <w:r>
        <w:rPr>
          <w:rStyle w:val="10"/>
          <w:rFonts w:eastAsia="方正小标宋简体"/>
          <w:kern w:val="0"/>
        </w:rPr>
        <w:t xml:space="preserve">   </w:t>
      </w:r>
      <w:r>
        <w:rPr>
          <w:rStyle w:val="10"/>
          <w:rFonts w:hint="eastAsia" w:eastAsia="方正小标宋简体"/>
          <w:kern w:val="0"/>
        </w:rPr>
        <w:t>录</w:t>
      </w:r>
      <w:r>
        <w:tab/>
      </w:r>
      <w:r>
        <w:fldChar w:fldCharType="begin"/>
      </w:r>
      <w:r>
        <w:instrText xml:space="preserve"> PAGEREF _Toc83570450 \h </w:instrText>
      </w:r>
      <w:r>
        <w:fldChar w:fldCharType="separate"/>
      </w:r>
      <w:r>
        <w:t>1</w:t>
      </w:r>
      <w:r>
        <w:fldChar w:fldCharType="end"/>
      </w:r>
      <w:r>
        <w:rPr>
          <w:rStyle w:val="1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"_Toc83570451"</w:instrText>
      </w:r>
      <w:r>
        <w:rPr>
          <w:rStyle w:val="10"/>
        </w:rPr>
        <w:instrText xml:space="preserve"> </w:instrText>
      </w:r>
      <w:r>
        <w:rPr>
          <w:rStyle w:val="10"/>
        </w:rPr>
        <w:fldChar w:fldCharType="separate"/>
      </w:r>
      <w:r>
        <w:rPr>
          <w:rStyle w:val="10"/>
          <w:rFonts w:hint="eastAsia" w:eastAsia="方正小标宋简体"/>
          <w:kern w:val="0"/>
        </w:rPr>
        <w:t>新能源与智能网联汽车专项</w:t>
      </w:r>
      <w:r>
        <w:tab/>
      </w:r>
      <w:r>
        <w:fldChar w:fldCharType="begin"/>
      </w:r>
      <w:r>
        <w:instrText xml:space="preserve"> PAGEREF _Toc83570451 \h </w:instrText>
      </w:r>
      <w:r>
        <w:fldChar w:fldCharType="separate"/>
      </w:r>
      <w:r>
        <w:t>5</w:t>
      </w:r>
      <w:r>
        <w:fldChar w:fldCharType="end"/>
      </w:r>
      <w:r>
        <w:rPr>
          <w:rStyle w:val="1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"_Toc83570452"</w:instrText>
      </w:r>
      <w:r>
        <w:rPr>
          <w:rStyle w:val="10"/>
        </w:rPr>
        <w:instrText xml:space="preserve"> </w:instrText>
      </w:r>
      <w:r>
        <w:rPr>
          <w:rStyle w:val="10"/>
        </w:rPr>
        <w:fldChar w:fldCharType="separate"/>
      </w:r>
      <w:r>
        <w:rPr>
          <w:rStyle w:val="10"/>
          <w:rFonts w:hint="eastAsia" w:eastAsia="黑体"/>
          <w:kern w:val="0"/>
        </w:rPr>
        <w:t>专题一：新能源汽车</w:t>
      </w:r>
      <w:r>
        <w:tab/>
      </w:r>
      <w:r>
        <w:fldChar w:fldCharType="begin"/>
      </w:r>
      <w:r>
        <w:instrText xml:space="preserve"> PAGEREF _Toc83570452 \h </w:instrText>
      </w:r>
      <w:r>
        <w:fldChar w:fldCharType="separate"/>
      </w:r>
      <w:r>
        <w:t>5</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：氢燃料电池商用车产业协同创新</w:t>
      </w:r>
      <w:r>
        <w:rPr>
          <w:i w:val="0"/>
        </w:rPr>
        <w:tab/>
      </w:r>
      <w:r>
        <w:rPr>
          <w:i w:val="0"/>
        </w:rPr>
        <w:fldChar w:fldCharType="begin"/>
      </w:r>
      <w:r>
        <w:rPr>
          <w:i w:val="0"/>
        </w:rPr>
        <w:instrText xml:space="preserve"> PAGEREF _Toc83570453 \h </w:instrText>
      </w:r>
      <w:r>
        <w:rPr>
          <w:i w:val="0"/>
        </w:rPr>
        <w:fldChar w:fldCharType="separate"/>
      </w:r>
      <w:r>
        <w:rPr>
          <w:i w:val="0"/>
        </w:rPr>
        <w:t>5</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：混合动力新能源车动力系统研发及应用</w:t>
      </w:r>
      <w:r>
        <w:rPr>
          <w:i w:val="0"/>
        </w:rPr>
        <w:tab/>
      </w:r>
      <w:r>
        <w:rPr>
          <w:i w:val="0"/>
        </w:rPr>
        <w:fldChar w:fldCharType="begin"/>
      </w:r>
      <w:r>
        <w:rPr>
          <w:i w:val="0"/>
        </w:rPr>
        <w:instrText xml:space="preserve"> PAGEREF _Toc83570454 \h </w:instrText>
      </w:r>
      <w:r>
        <w:rPr>
          <w:i w:val="0"/>
        </w:rPr>
        <w:fldChar w:fldCharType="separate"/>
      </w:r>
      <w:r>
        <w:rPr>
          <w:i w:val="0"/>
        </w:rPr>
        <w:t>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：新一代纯电动商用车平台化底盘研发</w:t>
      </w:r>
      <w:r>
        <w:rPr>
          <w:i w:val="0"/>
        </w:rPr>
        <w:tab/>
      </w:r>
      <w:r>
        <w:rPr>
          <w:i w:val="0"/>
        </w:rPr>
        <w:fldChar w:fldCharType="begin"/>
      </w:r>
      <w:r>
        <w:rPr>
          <w:i w:val="0"/>
        </w:rPr>
        <w:instrText xml:space="preserve"> PAGEREF _Toc83570455 \h </w:instrText>
      </w:r>
      <w:r>
        <w:rPr>
          <w:i w:val="0"/>
        </w:rPr>
        <w:fldChar w:fldCharType="separate"/>
      </w:r>
      <w:r>
        <w:rPr>
          <w:i w:val="0"/>
        </w:rPr>
        <w:t>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：新能源汽车关键零部件研发</w:t>
      </w:r>
      <w:r>
        <w:rPr>
          <w:i w:val="0"/>
        </w:rPr>
        <w:tab/>
      </w:r>
      <w:r>
        <w:rPr>
          <w:i w:val="0"/>
        </w:rPr>
        <w:fldChar w:fldCharType="begin"/>
      </w:r>
      <w:r>
        <w:rPr>
          <w:i w:val="0"/>
        </w:rPr>
        <w:instrText xml:space="preserve"> PAGEREF _Toc83570456 \h </w:instrText>
      </w:r>
      <w:r>
        <w:rPr>
          <w:i w:val="0"/>
        </w:rPr>
        <w:fldChar w:fldCharType="separate"/>
      </w:r>
      <w:r>
        <w:rPr>
          <w:i w:val="0"/>
        </w:rPr>
        <w:t>9</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"_Toc83570457"</w:instrText>
      </w:r>
      <w:r>
        <w:rPr>
          <w:rStyle w:val="10"/>
        </w:rPr>
        <w:instrText xml:space="preserve"> </w:instrText>
      </w:r>
      <w:r>
        <w:rPr>
          <w:rStyle w:val="10"/>
        </w:rPr>
        <w:fldChar w:fldCharType="separate"/>
      </w:r>
      <w:r>
        <w:rPr>
          <w:rStyle w:val="10"/>
          <w:rFonts w:hint="eastAsia" w:eastAsia="黑体"/>
          <w:kern w:val="0"/>
        </w:rPr>
        <w:t>专题二：智能网联汽车</w:t>
      </w:r>
      <w:r>
        <w:tab/>
      </w:r>
      <w:r>
        <w:fldChar w:fldCharType="begin"/>
      </w:r>
      <w:r>
        <w:instrText xml:space="preserve"> PAGEREF _Toc83570457 \h </w:instrText>
      </w:r>
      <w:r>
        <w:fldChar w:fldCharType="separate"/>
      </w:r>
      <w:r>
        <w:t>11</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：智能网联汽车关键技术研究</w:t>
      </w:r>
      <w:r>
        <w:rPr>
          <w:i w:val="0"/>
        </w:rPr>
        <w:tab/>
      </w:r>
      <w:r>
        <w:rPr>
          <w:i w:val="0"/>
        </w:rPr>
        <w:fldChar w:fldCharType="begin"/>
      </w:r>
      <w:r>
        <w:rPr>
          <w:i w:val="0"/>
        </w:rPr>
        <w:instrText xml:space="preserve"> PAGEREF _Toc83570458 \h </w:instrText>
      </w:r>
      <w:r>
        <w:rPr>
          <w:i w:val="0"/>
        </w:rPr>
        <w:fldChar w:fldCharType="separate"/>
      </w:r>
      <w:r>
        <w:rPr>
          <w:i w:val="0"/>
        </w:rPr>
        <w:t>11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"_Toc83570459"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6</w:t>
      </w:r>
      <w:r>
        <w:rPr>
          <w:rStyle w:val="10"/>
          <w:rFonts w:hint="eastAsia" w:eastAsia="仿宋_GB2312"/>
          <w:b/>
          <w:i w:val="0"/>
        </w:rPr>
        <w:t>：智能网联汽车整车开发</w:t>
      </w:r>
      <w:r>
        <w:rPr>
          <w:i w:val="0"/>
        </w:rPr>
        <w:tab/>
      </w:r>
      <w:r>
        <w:rPr>
          <w:i w:val="0"/>
        </w:rPr>
        <w:fldChar w:fldCharType="begin"/>
      </w:r>
      <w:r>
        <w:rPr>
          <w:i w:val="0"/>
        </w:rPr>
        <w:instrText xml:space="preserve"> PAGEREF _Toc83570459 \h </w:instrText>
      </w:r>
      <w:r>
        <w:rPr>
          <w:i w:val="0"/>
        </w:rPr>
        <w:fldChar w:fldCharType="separate"/>
      </w:r>
      <w:r>
        <w:rPr>
          <w:i w:val="0"/>
        </w:rPr>
        <w:t>13</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"_Toc83570460"</w:instrText>
      </w:r>
      <w:r>
        <w:rPr>
          <w:rStyle w:val="10"/>
        </w:rPr>
        <w:instrText xml:space="preserve"> </w:instrText>
      </w:r>
      <w:r>
        <w:rPr>
          <w:rStyle w:val="10"/>
        </w:rPr>
        <w:fldChar w:fldCharType="separate"/>
      </w:r>
      <w:r>
        <w:rPr>
          <w:rStyle w:val="10"/>
          <w:rFonts w:hint="eastAsia" w:eastAsia="黑体"/>
          <w:kern w:val="0"/>
        </w:rPr>
        <w:t>专题三：节能汽车</w:t>
      </w:r>
      <w:r>
        <w:tab/>
      </w:r>
      <w:r>
        <w:fldChar w:fldCharType="begin"/>
      </w:r>
      <w:r>
        <w:instrText xml:space="preserve"> PAGEREF _Toc83570460 \h </w:instrText>
      </w:r>
      <w:r>
        <w:fldChar w:fldCharType="separate"/>
      </w:r>
      <w:r>
        <w:t>16</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7</w:t>
      </w:r>
      <w:r>
        <w:rPr>
          <w:rStyle w:val="10"/>
          <w:rFonts w:hint="eastAsia" w:eastAsia="仿宋_GB2312"/>
          <w:b/>
          <w:i w:val="0"/>
        </w:rPr>
        <w:t>：高效节能环保汽车开发及产业化</w:t>
      </w:r>
      <w:r>
        <w:rPr>
          <w:i w:val="0"/>
        </w:rPr>
        <w:tab/>
      </w:r>
      <w:r>
        <w:rPr>
          <w:i w:val="0"/>
        </w:rPr>
        <w:fldChar w:fldCharType="begin"/>
      </w:r>
      <w:r>
        <w:rPr>
          <w:i w:val="0"/>
        </w:rPr>
        <w:instrText xml:space="preserve"> PAGEREF _Toc83570461 \h </w:instrText>
      </w:r>
      <w:r>
        <w:rPr>
          <w:i w:val="0"/>
        </w:rPr>
        <w:fldChar w:fldCharType="separate"/>
      </w:r>
      <w:r>
        <w:rPr>
          <w:i w:val="0"/>
        </w:rPr>
        <w:t>16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8</w:t>
      </w:r>
      <w:r>
        <w:rPr>
          <w:rStyle w:val="10"/>
          <w:rFonts w:hint="eastAsia" w:eastAsia="仿宋_GB2312"/>
          <w:b/>
          <w:i w:val="0"/>
        </w:rPr>
        <w:t>：汽车轻量化关键技术研究</w:t>
      </w:r>
      <w:r>
        <w:rPr>
          <w:i w:val="0"/>
        </w:rPr>
        <w:tab/>
      </w:r>
      <w:r>
        <w:rPr>
          <w:i w:val="0"/>
        </w:rPr>
        <w:fldChar w:fldCharType="begin"/>
      </w:r>
      <w:r>
        <w:rPr>
          <w:i w:val="0"/>
        </w:rPr>
        <w:instrText xml:space="preserve"> PAGEREF _Toc83570462 \h </w:instrText>
      </w:r>
      <w:r>
        <w:rPr>
          <w:i w:val="0"/>
        </w:rPr>
        <w:fldChar w:fldCharType="separate"/>
      </w:r>
      <w:r>
        <w:rPr>
          <w:i w:val="0"/>
        </w:rPr>
        <w:t>16</w:t>
      </w:r>
      <w:r>
        <w:rPr>
          <w:i w:val="0"/>
        </w:rPr>
        <w:fldChar w:fldCharType="end"/>
      </w:r>
      <w:r>
        <w:rPr>
          <w:rStyle w:val="10"/>
          <w:i w:val="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"_Toc83570463"</w:instrText>
      </w:r>
      <w:r>
        <w:rPr>
          <w:rStyle w:val="10"/>
        </w:rPr>
        <w:instrText xml:space="preserve"> </w:instrText>
      </w:r>
      <w:r>
        <w:rPr>
          <w:rStyle w:val="10"/>
        </w:rPr>
        <w:fldChar w:fldCharType="separate"/>
      </w:r>
      <w:r>
        <w:rPr>
          <w:rStyle w:val="10"/>
          <w:rFonts w:hint="eastAsia" w:eastAsia="方正小标宋简体"/>
          <w:kern w:val="0"/>
        </w:rPr>
        <w:t>机械制造与高端装备专项</w:t>
      </w:r>
      <w:r>
        <w:tab/>
      </w:r>
      <w:r>
        <w:fldChar w:fldCharType="begin"/>
      </w:r>
      <w:r>
        <w:instrText xml:space="preserve"> PAGEREF _Toc83570463 \h </w:instrText>
      </w:r>
      <w:r>
        <w:fldChar w:fldCharType="separate"/>
      </w:r>
      <w:r>
        <w:t>18</w:t>
      </w:r>
      <w:r>
        <w:fldChar w:fldCharType="end"/>
      </w:r>
      <w:r>
        <w:rPr>
          <w:rStyle w:val="1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"_Toc83570464"</w:instrText>
      </w:r>
      <w:r>
        <w:rPr>
          <w:rStyle w:val="10"/>
        </w:rPr>
        <w:instrText xml:space="preserve"> </w:instrText>
      </w:r>
      <w:r>
        <w:rPr>
          <w:rStyle w:val="10"/>
        </w:rPr>
        <w:fldChar w:fldCharType="separate"/>
      </w:r>
      <w:r>
        <w:rPr>
          <w:rStyle w:val="10"/>
          <w:rFonts w:hint="eastAsia" w:eastAsia="黑体"/>
          <w:kern w:val="0"/>
        </w:rPr>
        <w:t>专题一：内燃机及关联零部件</w:t>
      </w:r>
      <w:r>
        <w:tab/>
      </w:r>
      <w:r>
        <w:fldChar w:fldCharType="begin"/>
      </w:r>
      <w:r>
        <w:instrText xml:space="preserve"> PAGEREF _Toc83570464 \h </w:instrText>
      </w:r>
      <w:r>
        <w:fldChar w:fldCharType="separate"/>
      </w:r>
      <w:r>
        <w:t>18</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：超低油耗智能化商用车发动机开发与产业化</w:t>
      </w:r>
      <w:r>
        <w:rPr>
          <w:i w:val="0"/>
        </w:rPr>
        <w:tab/>
      </w:r>
      <w:r>
        <w:rPr>
          <w:i w:val="0"/>
        </w:rPr>
        <w:fldChar w:fldCharType="begin"/>
      </w:r>
      <w:r>
        <w:rPr>
          <w:i w:val="0"/>
        </w:rPr>
        <w:instrText xml:space="preserve"> PAGEREF _Toc83570465 \h </w:instrText>
      </w:r>
      <w:r>
        <w:rPr>
          <w:i w:val="0"/>
        </w:rPr>
        <w:fldChar w:fldCharType="separate"/>
      </w:r>
      <w:r>
        <w:rPr>
          <w:i w:val="0"/>
        </w:rPr>
        <w:t>18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：高效智能非道路发动机开发及产业化</w:t>
      </w:r>
      <w:r>
        <w:rPr>
          <w:i w:val="0"/>
        </w:rPr>
        <w:tab/>
      </w:r>
      <w:r>
        <w:rPr>
          <w:i w:val="0"/>
        </w:rPr>
        <w:fldChar w:fldCharType="begin"/>
      </w:r>
      <w:r>
        <w:rPr>
          <w:i w:val="0"/>
        </w:rPr>
        <w:instrText xml:space="preserve"> PAGEREF _Toc83570466 \h </w:instrText>
      </w:r>
      <w:r>
        <w:rPr>
          <w:i w:val="0"/>
        </w:rPr>
        <w:fldChar w:fldCharType="separate"/>
      </w:r>
      <w:r>
        <w:rPr>
          <w:i w:val="0"/>
        </w:rPr>
        <w:t>19</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：内燃机关联零部件关键技术研发</w:t>
      </w:r>
      <w:r>
        <w:rPr>
          <w:i w:val="0"/>
        </w:rPr>
        <w:tab/>
      </w:r>
      <w:r>
        <w:rPr>
          <w:i w:val="0"/>
        </w:rPr>
        <w:fldChar w:fldCharType="begin"/>
      </w:r>
      <w:r>
        <w:rPr>
          <w:i w:val="0"/>
        </w:rPr>
        <w:instrText xml:space="preserve"> PAGEREF _Toc83570467 \h </w:instrText>
      </w:r>
      <w:r>
        <w:rPr>
          <w:i w:val="0"/>
        </w:rPr>
        <w:fldChar w:fldCharType="separate"/>
      </w:r>
      <w:r>
        <w:rPr>
          <w:i w:val="0"/>
        </w:rPr>
        <w:t>20</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"_Toc83570468"</w:instrText>
      </w:r>
      <w:r>
        <w:rPr>
          <w:rStyle w:val="10"/>
        </w:rPr>
        <w:instrText xml:space="preserve"> </w:instrText>
      </w:r>
      <w:r>
        <w:rPr>
          <w:rStyle w:val="10"/>
        </w:rPr>
        <w:fldChar w:fldCharType="separate"/>
      </w:r>
      <w:r>
        <w:rPr>
          <w:rStyle w:val="10"/>
          <w:rFonts w:hint="eastAsia" w:eastAsia="黑体"/>
          <w:kern w:val="0"/>
        </w:rPr>
        <w:t>专题二：工程机械及零部件</w:t>
      </w:r>
      <w:r>
        <w:tab/>
      </w:r>
      <w:r>
        <w:fldChar w:fldCharType="begin"/>
      </w:r>
      <w:r>
        <w:instrText xml:space="preserve"> PAGEREF _Toc83570468 \h </w:instrText>
      </w:r>
      <w:r>
        <w:fldChar w:fldCharType="separate"/>
      </w:r>
      <w:r>
        <w:t>23</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"_Toc83570469"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：新能源工程机械技术研究及产品研发</w:t>
      </w:r>
      <w:r>
        <w:rPr>
          <w:i w:val="0"/>
        </w:rPr>
        <w:tab/>
      </w:r>
      <w:r>
        <w:rPr>
          <w:i w:val="0"/>
        </w:rPr>
        <w:fldChar w:fldCharType="begin"/>
      </w:r>
      <w:r>
        <w:rPr>
          <w:i w:val="0"/>
        </w:rPr>
        <w:instrText xml:space="preserve"> PAGEREF _Toc83570469 \h </w:instrText>
      </w:r>
      <w:r>
        <w:rPr>
          <w:i w:val="0"/>
        </w:rPr>
        <w:fldChar w:fldCharType="separate"/>
      </w:r>
      <w:r>
        <w:rPr>
          <w:i w:val="0"/>
        </w:rPr>
        <w:t>23</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"_Toc83570470"</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：工程机械智能化技术研究及应用</w:t>
      </w:r>
      <w:r>
        <w:rPr>
          <w:i w:val="0"/>
        </w:rPr>
        <w:tab/>
      </w:r>
      <w:r>
        <w:rPr>
          <w:i w:val="0"/>
        </w:rPr>
        <w:fldChar w:fldCharType="begin"/>
      </w:r>
      <w:r>
        <w:rPr>
          <w:i w:val="0"/>
        </w:rPr>
        <w:instrText xml:space="preserve"> PAGEREF _Toc83570470 \h </w:instrText>
      </w:r>
      <w:r>
        <w:rPr>
          <w:i w:val="0"/>
        </w:rPr>
        <w:fldChar w:fldCharType="separate"/>
      </w:r>
      <w:r>
        <w:rPr>
          <w:i w:val="0"/>
        </w:rPr>
        <w:t>24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6</w:t>
      </w:r>
      <w:r>
        <w:rPr>
          <w:rStyle w:val="10"/>
          <w:rFonts w:hint="eastAsia" w:eastAsia="仿宋_GB2312"/>
          <w:b/>
          <w:i w:val="0"/>
        </w:rPr>
        <w:t>：工程机械节能、降噪及抗疲劳设计关键技术研究</w:t>
      </w:r>
      <w:r>
        <w:rPr>
          <w:i w:val="0"/>
        </w:rPr>
        <w:tab/>
      </w:r>
      <w:r>
        <w:rPr>
          <w:i w:val="0"/>
        </w:rPr>
        <w:fldChar w:fldCharType="begin"/>
      </w:r>
      <w:r>
        <w:rPr>
          <w:i w:val="0"/>
        </w:rPr>
        <w:instrText xml:space="preserve"> PAGEREF _Toc83570471 \h </w:instrText>
      </w:r>
      <w:r>
        <w:rPr>
          <w:i w:val="0"/>
        </w:rPr>
        <w:fldChar w:fldCharType="separate"/>
      </w:r>
      <w:r>
        <w:rPr>
          <w:i w:val="0"/>
        </w:rPr>
        <w:t>26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7</w:t>
      </w:r>
      <w:r>
        <w:rPr>
          <w:rStyle w:val="10"/>
          <w:rFonts w:hint="eastAsia" w:eastAsia="仿宋_GB2312"/>
          <w:b/>
          <w:i w:val="0"/>
        </w:rPr>
        <w:t>：工程机械核心零部件关键技术研发</w:t>
      </w:r>
      <w:r>
        <w:rPr>
          <w:i w:val="0"/>
        </w:rPr>
        <w:tab/>
      </w:r>
      <w:r>
        <w:rPr>
          <w:i w:val="0"/>
        </w:rPr>
        <w:fldChar w:fldCharType="begin"/>
      </w:r>
      <w:r>
        <w:rPr>
          <w:i w:val="0"/>
        </w:rPr>
        <w:instrText xml:space="preserve"> PAGEREF _Toc83570472 \h </w:instrText>
      </w:r>
      <w:r>
        <w:rPr>
          <w:i w:val="0"/>
        </w:rPr>
        <w:fldChar w:fldCharType="separate"/>
      </w:r>
      <w:r>
        <w:rPr>
          <w:i w:val="0"/>
        </w:rPr>
        <w:t>27</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"_Toc83570473"</w:instrText>
      </w:r>
      <w:r>
        <w:rPr>
          <w:rStyle w:val="10"/>
        </w:rPr>
        <w:instrText xml:space="preserve"> </w:instrText>
      </w:r>
      <w:r>
        <w:rPr>
          <w:rStyle w:val="10"/>
        </w:rPr>
        <w:fldChar w:fldCharType="separate"/>
      </w:r>
      <w:r>
        <w:rPr>
          <w:rStyle w:val="10"/>
          <w:rFonts w:hint="eastAsia" w:eastAsia="黑体"/>
          <w:kern w:val="0"/>
        </w:rPr>
        <w:t>专题三：高端装备制造</w:t>
      </w:r>
      <w:r>
        <w:tab/>
      </w:r>
      <w:r>
        <w:fldChar w:fldCharType="begin"/>
      </w:r>
      <w:r>
        <w:instrText xml:space="preserve"> PAGEREF _Toc83570473 \h </w:instrText>
      </w:r>
      <w:r>
        <w:fldChar w:fldCharType="separate"/>
      </w:r>
      <w:r>
        <w:t>28</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8</w:t>
      </w:r>
      <w:r>
        <w:rPr>
          <w:rStyle w:val="10"/>
          <w:rFonts w:hint="eastAsia" w:eastAsia="仿宋_GB2312"/>
          <w:b/>
          <w:i w:val="0"/>
        </w:rPr>
        <w:t>：机器人关键技术攻关及产品开发</w:t>
      </w:r>
      <w:r>
        <w:rPr>
          <w:i w:val="0"/>
        </w:rPr>
        <w:tab/>
      </w:r>
      <w:r>
        <w:rPr>
          <w:i w:val="0"/>
        </w:rPr>
        <w:fldChar w:fldCharType="begin"/>
      </w:r>
      <w:r>
        <w:rPr>
          <w:i w:val="0"/>
        </w:rPr>
        <w:instrText xml:space="preserve"> PAGEREF _Toc83570474 \h </w:instrText>
      </w:r>
      <w:r>
        <w:rPr>
          <w:i w:val="0"/>
        </w:rPr>
        <w:fldChar w:fldCharType="separate"/>
      </w:r>
      <w:r>
        <w:rPr>
          <w:i w:val="0"/>
        </w:rPr>
        <w:t>28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9</w:t>
      </w:r>
      <w:r>
        <w:rPr>
          <w:rStyle w:val="10"/>
          <w:rFonts w:hint="eastAsia" w:eastAsia="仿宋_GB2312"/>
          <w:b/>
          <w:i w:val="0"/>
        </w:rPr>
        <w:t>：无人机和飞行器关键技术攻关及产品开发</w:t>
      </w:r>
      <w:r>
        <w:rPr>
          <w:i w:val="0"/>
        </w:rPr>
        <w:tab/>
      </w:r>
      <w:r>
        <w:rPr>
          <w:i w:val="0"/>
        </w:rPr>
        <w:fldChar w:fldCharType="begin"/>
      </w:r>
      <w:r>
        <w:rPr>
          <w:i w:val="0"/>
        </w:rPr>
        <w:instrText xml:space="preserve"> PAGEREF _Toc83570475 \h </w:instrText>
      </w:r>
      <w:r>
        <w:rPr>
          <w:i w:val="0"/>
        </w:rPr>
        <w:fldChar w:fldCharType="separate"/>
      </w:r>
      <w:r>
        <w:rPr>
          <w:i w:val="0"/>
        </w:rPr>
        <w:t>31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10</w:t>
      </w:r>
      <w:r>
        <w:rPr>
          <w:rStyle w:val="10"/>
          <w:rFonts w:hint="eastAsia" w:eastAsia="仿宋_GB2312"/>
          <w:b/>
          <w:i w:val="0"/>
        </w:rPr>
        <w:t>：船舶与海洋工程装备研发</w:t>
      </w:r>
      <w:r>
        <w:rPr>
          <w:i w:val="0"/>
        </w:rPr>
        <w:tab/>
      </w:r>
      <w:r>
        <w:rPr>
          <w:i w:val="0"/>
        </w:rPr>
        <w:fldChar w:fldCharType="begin"/>
      </w:r>
      <w:r>
        <w:rPr>
          <w:i w:val="0"/>
        </w:rPr>
        <w:instrText xml:space="preserve"> PAGEREF _Toc83570476 \h </w:instrText>
      </w:r>
      <w:r>
        <w:rPr>
          <w:i w:val="0"/>
        </w:rPr>
        <w:fldChar w:fldCharType="separate"/>
      </w:r>
      <w:r>
        <w:rPr>
          <w:i w:val="0"/>
        </w:rPr>
        <w:t>33</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11</w:t>
      </w:r>
      <w:r>
        <w:rPr>
          <w:rStyle w:val="10"/>
          <w:rFonts w:hint="eastAsia" w:eastAsia="仿宋_GB2312"/>
          <w:b/>
          <w:i w:val="0"/>
        </w:rPr>
        <w:t>：轮胎制造及装备关键技术研发</w:t>
      </w:r>
      <w:r>
        <w:rPr>
          <w:i w:val="0"/>
        </w:rPr>
        <w:tab/>
      </w:r>
      <w:r>
        <w:rPr>
          <w:i w:val="0"/>
        </w:rPr>
        <w:fldChar w:fldCharType="begin"/>
      </w:r>
      <w:r>
        <w:rPr>
          <w:i w:val="0"/>
        </w:rPr>
        <w:instrText xml:space="preserve"> PAGEREF _Toc83570477 \h </w:instrText>
      </w:r>
      <w:r>
        <w:rPr>
          <w:i w:val="0"/>
        </w:rPr>
        <w:fldChar w:fldCharType="separate"/>
      </w:r>
      <w:r>
        <w:rPr>
          <w:i w:val="0"/>
        </w:rPr>
        <w:t>36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12</w:t>
      </w:r>
      <w:r>
        <w:rPr>
          <w:rStyle w:val="10"/>
          <w:rFonts w:hint="eastAsia" w:eastAsia="仿宋_GB2312"/>
          <w:b/>
          <w:i w:val="0"/>
        </w:rPr>
        <w:t>：矿山工程装备关键技术研发</w:t>
      </w:r>
      <w:r>
        <w:rPr>
          <w:i w:val="0"/>
        </w:rPr>
        <w:tab/>
      </w:r>
      <w:r>
        <w:rPr>
          <w:i w:val="0"/>
        </w:rPr>
        <w:fldChar w:fldCharType="begin"/>
      </w:r>
      <w:r>
        <w:rPr>
          <w:i w:val="0"/>
        </w:rPr>
        <w:instrText xml:space="preserve"> PAGEREF _Toc83570478 \h </w:instrText>
      </w:r>
      <w:r>
        <w:rPr>
          <w:i w:val="0"/>
        </w:rPr>
        <w:fldChar w:fldCharType="separate"/>
      </w:r>
      <w:r>
        <w:rPr>
          <w:i w:val="0"/>
        </w:rPr>
        <w:t>37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"_Toc83570479"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13</w:t>
      </w:r>
      <w:r>
        <w:rPr>
          <w:rStyle w:val="10"/>
          <w:rFonts w:hint="eastAsia" w:eastAsia="仿宋_GB2312"/>
          <w:b/>
          <w:i w:val="0"/>
        </w:rPr>
        <w:t>：预应力机械装备关键技术研究及产品开发</w:t>
      </w:r>
      <w:r>
        <w:rPr>
          <w:i w:val="0"/>
        </w:rPr>
        <w:tab/>
      </w:r>
      <w:r>
        <w:rPr>
          <w:i w:val="0"/>
        </w:rPr>
        <w:fldChar w:fldCharType="begin"/>
      </w:r>
      <w:r>
        <w:rPr>
          <w:i w:val="0"/>
        </w:rPr>
        <w:instrText xml:space="preserve"> PAGEREF _Toc83570479 \h </w:instrText>
      </w:r>
      <w:r>
        <w:rPr>
          <w:i w:val="0"/>
        </w:rPr>
        <w:fldChar w:fldCharType="separate"/>
      </w:r>
      <w:r>
        <w:rPr>
          <w:i w:val="0"/>
        </w:rPr>
        <w:t>38</w:t>
      </w:r>
      <w:r>
        <w:rPr>
          <w:i w:val="0"/>
        </w:rPr>
        <w:fldChar w:fldCharType="end"/>
      </w:r>
      <w:r>
        <w:rPr>
          <w:rStyle w:val="10"/>
          <w:i w:val="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"_Toc83570480"</w:instrText>
      </w:r>
      <w:r>
        <w:rPr>
          <w:rStyle w:val="10"/>
        </w:rPr>
        <w:instrText xml:space="preserve"> </w:instrText>
      </w:r>
      <w:r>
        <w:rPr>
          <w:rStyle w:val="10"/>
        </w:rPr>
        <w:fldChar w:fldCharType="separate"/>
      </w:r>
      <w:r>
        <w:rPr>
          <w:rStyle w:val="10"/>
          <w:rFonts w:hint="eastAsia" w:eastAsia="方正小标宋简体"/>
          <w:kern w:val="0"/>
        </w:rPr>
        <w:t>新一代人工智能专项</w:t>
      </w:r>
      <w:r>
        <w:tab/>
      </w:r>
      <w:r>
        <w:fldChar w:fldCharType="begin"/>
      </w:r>
      <w:r>
        <w:instrText xml:space="preserve"> PAGEREF _Toc83570480 \h </w:instrText>
      </w:r>
      <w:r>
        <w:fldChar w:fldCharType="separate"/>
      </w:r>
      <w:r>
        <w:t>40</w:t>
      </w:r>
      <w:r>
        <w:fldChar w:fldCharType="end"/>
      </w:r>
      <w:r>
        <w:rPr>
          <w:rStyle w:val="1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"_Toc83570481"</w:instrText>
      </w:r>
      <w:r>
        <w:rPr>
          <w:rStyle w:val="10"/>
        </w:rPr>
        <w:instrText xml:space="preserve"> </w:instrText>
      </w:r>
      <w:r>
        <w:rPr>
          <w:rStyle w:val="10"/>
        </w:rPr>
        <w:fldChar w:fldCharType="separate"/>
      </w:r>
      <w:r>
        <w:rPr>
          <w:rStyle w:val="10"/>
          <w:rFonts w:hint="eastAsia" w:eastAsia="黑体"/>
          <w:kern w:val="0"/>
        </w:rPr>
        <w:t>专题一：人工智能硬件及计算平台研发</w:t>
      </w:r>
      <w:r>
        <w:tab/>
      </w:r>
      <w:r>
        <w:fldChar w:fldCharType="begin"/>
      </w:r>
      <w:r>
        <w:instrText xml:space="preserve"> PAGEREF _Toc83570481 \h </w:instrText>
      </w:r>
      <w:r>
        <w:fldChar w:fldCharType="separate"/>
      </w:r>
      <w:r>
        <w:t>40</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：视频智能终端专用芯片研发及产业化</w:t>
      </w:r>
      <w:r>
        <w:rPr>
          <w:i w:val="0"/>
        </w:rPr>
        <w:tab/>
      </w:r>
      <w:r>
        <w:rPr>
          <w:i w:val="0"/>
        </w:rPr>
        <w:fldChar w:fldCharType="begin"/>
      </w:r>
      <w:r>
        <w:rPr>
          <w:i w:val="0"/>
        </w:rPr>
        <w:instrText xml:space="preserve"> PAGEREF _Toc83570482 \h </w:instrText>
      </w:r>
      <w:r>
        <w:rPr>
          <w:i w:val="0"/>
        </w:rPr>
        <w:fldChar w:fldCharType="separate"/>
      </w:r>
      <w:r>
        <w:rPr>
          <w:i w:val="0"/>
        </w:rPr>
        <w:t>40</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：智能音频芯片研发和产业化</w:t>
      </w:r>
      <w:r>
        <w:rPr>
          <w:i w:val="0"/>
        </w:rPr>
        <w:tab/>
      </w:r>
      <w:r>
        <w:rPr>
          <w:i w:val="0"/>
        </w:rPr>
        <w:fldChar w:fldCharType="begin"/>
      </w:r>
      <w:r>
        <w:rPr>
          <w:i w:val="0"/>
        </w:rPr>
        <w:instrText xml:space="preserve"> PAGEREF _Toc83570483 \h </w:instrText>
      </w:r>
      <w:r>
        <w:rPr>
          <w:i w:val="0"/>
        </w:rPr>
        <w:fldChar w:fldCharType="separate"/>
      </w:r>
      <w:r>
        <w:rPr>
          <w:i w:val="0"/>
        </w:rPr>
        <w:t>41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：工程安全控制芯片的研发与产业化</w:t>
      </w:r>
      <w:r>
        <w:rPr>
          <w:i w:val="0"/>
        </w:rPr>
        <w:tab/>
      </w:r>
      <w:r>
        <w:rPr>
          <w:i w:val="0"/>
        </w:rPr>
        <w:fldChar w:fldCharType="begin"/>
      </w:r>
      <w:r>
        <w:rPr>
          <w:i w:val="0"/>
        </w:rPr>
        <w:instrText xml:space="preserve"> PAGEREF _Toc83570484 \h </w:instrText>
      </w:r>
      <w:r>
        <w:rPr>
          <w:i w:val="0"/>
        </w:rPr>
        <w:fldChar w:fldCharType="separate"/>
      </w:r>
      <w:r>
        <w:rPr>
          <w:i w:val="0"/>
        </w:rPr>
        <w:t>42</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：光通信芯片开发和产业化</w:t>
      </w:r>
      <w:r>
        <w:rPr>
          <w:i w:val="0"/>
        </w:rPr>
        <w:tab/>
      </w:r>
      <w:r>
        <w:rPr>
          <w:i w:val="0"/>
        </w:rPr>
        <w:fldChar w:fldCharType="begin"/>
      </w:r>
      <w:r>
        <w:rPr>
          <w:i w:val="0"/>
        </w:rPr>
        <w:instrText xml:space="preserve"> PAGEREF _Toc83570485 \h </w:instrText>
      </w:r>
      <w:r>
        <w:rPr>
          <w:i w:val="0"/>
        </w:rPr>
        <w:fldChar w:fldCharType="separate"/>
      </w:r>
      <w:r>
        <w:rPr>
          <w:i w:val="0"/>
        </w:rPr>
        <w:t>44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：通信射频前端（</w:t>
      </w:r>
      <w:r>
        <w:rPr>
          <w:rStyle w:val="10"/>
          <w:rFonts w:eastAsia="仿宋_GB2312"/>
          <w:b/>
          <w:i w:val="0"/>
        </w:rPr>
        <w:t>FEM</w:t>
      </w:r>
      <w:r>
        <w:rPr>
          <w:rStyle w:val="10"/>
          <w:rFonts w:hint="eastAsia" w:eastAsia="仿宋_GB2312"/>
          <w:b/>
          <w:i w:val="0"/>
        </w:rPr>
        <w:t>）研发和产业化</w:t>
      </w:r>
      <w:r>
        <w:rPr>
          <w:i w:val="0"/>
        </w:rPr>
        <w:tab/>
      </w:r>
      <w:r>
        <w:rPr>
          <w:i w:val="0"/>
        </w:rPr>
        <w:fldChar w:fldCharType="begin"/>
      </w:r>
      <w:r>
        <w:rPr>
          <w:i w:val="0"/>
        </w:rPr>
        <w:instrText xml:space="preserve"> PAGEREF _Toc83570486 \h </w:instrText>
      </w:r>
      <w:r>
        <w:rPr>
          <w:i w:val="0"/>
        </w:rPr>
        <w:fldChar w:fldCharType="separate"/>
      </w:r>
      <w:r>
        <w:rPr>
          <w:i w:val="0"/>
        </w:rPr>
        <w:t>44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6</w:t>
      </w:r>
      <w:r>
        <w:rPr>
          <w:rStyle w:val="10"/>
          <w:rFonts w:hint="eastAsia" w:eastAsia="仿宋_GB2312"/>
          <w:b/>
          <w:i w:val="0"/>
        </w:rPr>
        <w:t>：混合架构人工智能计算平台关键技术研发</w:t>
      </w:r>
      <w:r>
        <w:rPr>
          <w:i w:val="0"/>
        </w:rPr>
        <w:tab/>
      </w:r>
      <w:r>
        <w:rPr>
          <w:i w:val="0"/>
        </w:rPr>
        <w:fldChar w:fldCharType="begin"/>
      </w:r>
      <w:r>
        <w:rPr>
          <w:i w:val="0"/>
        </w:rPr>
        <w:instrText xml:space="preserve"> PAGEREF _Toc83570487 \h </w:instrText>
      </w:r>
      <w:r>
        <w:rPr>
          <w:i w:val="0"/>
        </w:rPr>
        <w:fldChar w:fldCharType="separate"/>
      </w:r>
      <w:r>
        <w:rPr>
          <w:i w:val="0"/>
        </w:rPr>
        <w:t>45</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"_Toc83570488"</w:instrText>
      </w:r>
      <w:r>
        <w:rPr>
          <w:rStyle w:val="10"/>
        </w:rPr>
        <w:instrText xml:space="preserve"> </w:instrText>
      </w:r>
      <w:r>
        <w:rPr>
          <w:rStyle w:val="10"/>
        </w:rPr>
        <w:fldChar w:fldCharType="separate"/>
      </w:r>
      <w:r>
        <w:rPr>
          <w:rStyle w:val="10"/>
          <w:rFonts w:hint="eastAsia" w:eastAsia="黑体"/>
          <w:kern w:val="0"/>
        </w:rPr>
        <w:t>专题二：物联网及工业互联网应用研发</w:t>
      </w:r>
      <w:r>
        <w:tab/>
      </w:r>
      <w:r>
        <w:fldChar w:fldCharType="begin"/>
      </w:r>
      <w:r>
        <w:instrText xml:space="preserve"> PAGEREF _Toc83570488 \h </w:instrText>
      </w:r>
      <w:r>
        <w:fldChar w:fldCharType="separate"/>
      </w:r>
      <w:r>
        <w:t>46</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"_Toc83570489"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7</w:t>
      </w:r>
      <w:r>
        <w:rPr>
          <w:rStyle w:val="10"/>
          <w:rFonts w:hint="eastAsia" w:eastAsia="仿宋_GB2312"/>
          <w:b/>
          <w:i w:val="0"/>
        </w:rPr>
        <w:t>：物联网应用系统开发工具研究及应用示范</w:t>
      </w:r>
      <w:r>
        <w:rPr>
          <w:i w:val="0"/>
        </w:rPr>
        <w:tab/>
      </w:r>
      <w:r>
        <w:rPr>
          <w:i w:val="0"/>
        </w:rPr>
        <w:fldChar w:fldCharType="begin"/>
      </w:r>
      <w:r>
        <w:rPr>
          <w:i w:val="0"/>
        </w:rPr>
        <w:instrText xml:space="preserve"> PAGEREF _Toc83570489 \h </w:instrText>
      </w:r>
      <w:r>
        <w:rPr>
          <w:i w:val="0"/>
        </w:rPr>
        <w:fldChar w:fldCharType="separate"/>
      </w:r>
      <w:r>
        <w:rPr>
          <w:i w:val="0"/>
        </w:rPr>
        <w:t>46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"_Toc83570490"</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8</w:t>
      </w:r>
      <w:r>
        <w:rPr>
          <w:rStyle w:val="10"/>
          <w:rFonts w:hint="eastAsia" w:eastAsia="仿宋_GB2312"/>
          <w:b/>
          <w:i w:val="0"/>
        </w:rPr>
        <w:t>：工业互联网智能防御溯源系统研发及应用示范</w:t>
      </w:r>
      <w:r>
        <w:rPr>
          <w:i w:val="0"/>
        </w:rPr>
        <w:tab/>
      </w:r>
      <w:r>
        <w:rPr>
          <w:i w:val="0"/>
        </w:rPr>
        <w:fldChar w:fldCharType="begin"/>
      </w:r>
      <w:r>
        <w:rPr>
          <w:i w:val="0"/>
        </w:rPr>
        <w:instrText xml:space="preserve"> PAGEREF _Toc83570490 \h </w:instrText>
      </w:r>
      <w:r>
        <w:rPr>
          <w:i w:val="0"/>
        </w:rPr>
        <w:fldChar w:fldCharType="separate"/>
      </w:r>
      <w:r>
        <w:rPr>
          <w:i w:val="0"/>
        </w:rPr>
        <w:t>48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9</w:t>
      </w:r>
      <w:r>
        <w:rPr>
          <w:rStyle w:val="10"/>
          <w:rFonts w:hint="eastAsia" w:eastAsia="仿宋_GB2312"/>
          <w:b/>
          <w:i w:val="0"/>
        </w:rPr>
        <w:t>：智能制造及数字化工厂关键技术研究及应用示范</w:t>
      </w:r>
      <w:r>
        <w:rPr>
          <w:i w:val="0"/>
        </w:rPr>
        <w:tab/>
      </w:r>
      <w:r>
        <w:rPr>
          <w:i w:val="0"/>
        </w:rPr>
        <w:fldChar w:fldCharType="begin"/>
      </w:r>
      <w:r>
        <w:rPr>
          <w:i w:val="0"/>
        </w:rPr>
        <w:instrText xml:space="preserve"> PAGEREF _Toc83570491 \h </w:instrText>
      </w:r>
      <w:r>
        <w:rPr>
          <w:i w:val="0"/>
        </w:rPr>
        <w:fldChar w:fldCharType="separate"/>
      </w:r>
      <w:r>
        <w:rPr>
          <w:i w:val="0"/>
        </w:rPr>
        <w:t>49</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"_Toc83570492"</w:instrText>
      </w:r>
      <w:r>
        <w:rPr>
          <w:rStyle w:val="10"/>
        </w:rPr>
        <w:instrText xml:space="preserve"> </w:instrText>
      </w:r>
      <w:r>
        <w:rPr>
          <w:rStyle w:val="10"/>
        </w:rPr>
        <w:fldChar w:fldCharType="separate"/>
      </w:r>
      <w:r>
        <w:rPr>
          <w:rStyle w:val="10"/>
          <w:rFonts w:hint="eastAsia" w:eastAsia="黑体"/>
          <w:kern w:val="0"/>
        </w:rPr>
        <w:t>专题三：人工智能技术行业创新应用示范</w:t>
      </w:r>
      <w:r>
        <w:tab/>
      </w:r>
      <w:r>
        <w:fldChar w:fldCharType="begin"/>
      </w:r>
      <w:r>
        <w:instrText xml:space="preserve"> PAGEREF _Toc83570492 \h </w:instrText>
      </w:r>
      <w:r>
        <w:fldChar w:fldCharType="separate"/>
      </w:r>
      <w:r>
        <w:t>52</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10</w:t>
      </w:r>
      <w:r>
        <w:rPr>
          <w:rStyle w:val="10"/>
          <w:rFonts w:hint="eastAsia" w:eastAsia="仿宋_GB2312"/>
          <w:b/>
          <w:i w:val="0"/>
        </w:rPr>
        <w:t>：智慧交通一体化系统研发及应用示范</w:t>
      </w:r>
      <w:r>
        <w:rPr>
          <w:i w:val="0"/>
        </w:rPr>
        <w:tab/>
      </w:r>
      <w:r>
        <w:rPr>
          <w:i w:val="0"/>
        </w:rPr>
        <w:fldChar w:fldCharType="begin"/>
      </w:r>
      <w:r>
        <w:rPr>
          <w:i w:val="0"/>
        </w:rPr>
        <w:instrText xml:space="preserve"> PAGEREF _Toc83570493 \h </w:instrText>
      </w:r>
      <w:r>
        <w:rPr>
          <w:i w:val="0"/>
        </w:rPr>
        <w:fldChar w:fldCharType="separate"/>
      </w:r>
      <w:r>
        <w:rPr>
          <w:i w:val="0"/>
        </w:rPr>
        <w:t>52</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11</w:t>
      </w:r>
      <w:r>
        <w:rPr>
          <w:rStyle w:val="10"/>
          <w:rFonts w:hint="eastAsia" w:eastAsia="仿宋_GB2312"/>
          <w:b/>
          <w:i w:val="0"/>
        </w:rPr>
        <w:t>：智慧医疗平台研发与应用示范</w:t>
      </w:r>
      <w:r>
        <w:rPr>
          <w:i w:val="0"/>
        </w:rPr>
        <w:tab/>
      </w:r>
      <w:r>
        <w:rPr>
          <w:i w:val="0"/>
        </w:rPr>
        <w:fldChar w:fldCharType="begin"/>
      </w:r>
      <w:r>
        <w:rPr>
          <w:i w:val="0"/>
        </w:rPr>
        <w:instrText xml:space="preserve"> PAGEREF _Toc83570494 \h </w:instrText>
      </w:r>
      <w:r>
        <w:rPr>
          <w:i w:val="0"/>
        </w:rPr>
        <w:fldChar w:fldCharType="separate"/>
      </w:r>
      <w:r>
        <w:rPr>
          <w:i w:val="0"/>
        </w:rPr>
        <w:t>53</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12</w:t>
      </w:r>
      <w:r>
        <w:rPr>
          <w:rStyle w:val="10"/>
          <w:rFonts w:hint="eastAsia" w:eastAsia="仿宋_GB2312"/>
          <w:b/>
          <w:i w:val="0"/>
        </w:rPr>
        <w:t>：农牧产业智慧供应链系统研发及应用示范</w:t>
      </w:r>
      <w:r>
        <w:rPr>
          <w:i w:val="0"/>
        </w:rPr>
        <w:tab/>
      </w:r>
      <w:r>
        <w:rPr>
          <w:i w:val="0"/>
        </w:rPr>
        <w:fldChar w:fldCharType="begin"/>
      </w:r>
      <w:r>
        <w:rPr>
          <w:i w:val="0"/>
        </w:rPr>
        <w:instrText xml:space="preserve"> PAGEREF _Toc83570495 \h </w:instrText>
      </w:r>
      <w:r>
        <w:rPr>
          <w:i w:val="0"/>
        </w:rPr>
        <w:fldChar w:fldCharType="separate"/>
      </w:r>
      <w:r>
        <w:rPr>
          <w:i w:val="0"/>
        </w:rPr>
        <w:t>54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13</w:t>
      </w:r>
      <w:r>
        <w:rPr>
          <w:rStyle w:val="10"/>
          <w:rFonts w:hint="eastAsia" w:eastAsia="仿宋_GB2312"/>
          <w:b/>
          <w:i w:val="0"/>
        </w:rPr>
        <w:t>：智慧应急平台研发及应用示范</w:t>
      </w:r>
      <w:r>
        <w:rPr>
          <w:i w:val="0"/>
        </w:rPr>
        <w:tab/>
      </w:r>
      <w:r>
        <w:rPr>
          <w:i w:val="0"/>
        </w:rPr>
        <w:fldChar w:fldCharType="begin"/>
      </w:r>
      <w:r>
        <w:rPr>
          <w:i w:val="0"/>
        </w:rPr>
        <w:instrText xml:space="preserve"> PAGEREF _Toc83570496 \h </w:instrText>
      </w:r>
      <w:r>
        <w:rPr>
          <w:i w:val="0"/>
        </w:rPr>
        <w:fldChar w:fldCharType="separate"/>
      </w:r>
      <w:r>
        <w:rPr>
          <w:i w:val="0"/>
        </w:rPr>
        <w:t>56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14</w:t>
      </w:r>
      <w:r>
        <w:rPr>
          <w:rStyle w:val="10"/>
          <w:rFonts w:hint="eastAsia" w:eastAsia="仿宋_GB2312"/>
          <w:b/>
          <w:i w:val="0"/>
        </w:rPr>
        <w:t>：绿色智能配电网数字化关键技术研究及应用示范</w:t>
      </w:r>
      <w:r>
        <w:rPr>
          <w:i w:val="0"/>
        </w:rPr>
        <w:tab/>
      </w:r>
      <w:r>
        <w:rPr>
          <w:i w:val="0"/>
        </w:rPr>
        <w:fldChar w:fldCharType="begin"/>
      </w:r>
      <w:r>
        <w:rPr>
          <w:i w:val="0"/>
        </w:rPr>
        <w:instrText xml:space="preserve"> PAGEREF _Toc83570497 \h </w:instrText>
      </w:r>
      <w:r>
        <w:rPr>
          <w:i w:val="0"/>
        </w:rPr>
        <w:fldChar w:fldCharType="separate"/>
      </w:r>
      <w:r>
        <w:rPr>
          <w:i w:val="0"/>
        </w:rPr>
        <w:t>57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"_Toc83570498"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15</w:t>
      </w:r>
      <w:r>
        <w:rPr>
          <w:rStyle w:val="10"/>
          <w:rFonts w:hint="eastAsia" w:eastAsia="仿宋_GB2312"/>
          <w:b/>
          <w:i w:val="0"/>
        </w:rPr>
        <w:t>：面向东盟的多语种互通互译关键技术研究及应用示范</w:t>
      </w:r>
      <w:r>
        <w:rPr>
          <w:i w:val="0"/>
        </w:rPr>
        <w:tab/>
      </w:r>
      <w:r>
        <w:rPr>
          <w:i w:val="0"/>
        </w:rPr>
        <w:fldChar w:fldCharType="begin"/>
      </w:r>
      <w:r>
        <w:rPr>
          <w:i w:val="0"/>
        </w:rPr>
        <w:instrText xml:space="preserve"> PAGEREF _Toc83570498 \h </w:instrText>
      </w:r>
      <w:r>
        <w:rPr>
          <w:i w:val="0"/>
        </w:rPr>
        <w:fldChar w:fldCharType="separate"/>
      </w:r>
      <w:r>
        <w:rPr>
          <w:i w:val="0"/>
        </w:rPr>
        <w:t>59</w:t>
      </w:r>
      <w:r>
        <w:rPr>
          <w:i w:val="0"/>
        </w:rPr>
        <w:fldChar w:fldCharType="end"/>
      </w:r>
      <w:r>
        <w:rPr>
          <w:rStyle w:val="10"/>
          <w:i w:val="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"_Toc83570499"</w:instrText>
      </w:r>
      <w:r>
        <w:rPr>
          <w:rStyle w:val="10"/>
        </w:rPr>
        <w:instrText xml:space="preserve"> </w:instrText>
      </w:r>
      <w:r>
        <w:rPr>
          <w:rStyle w:val="10"/>
        </w:rPr>
        <w:fldChar w:fldCharType="separate"/>
      </w:r>
      <w:r>
        <w:rPr>
          <w:rStyle w:val="10"/>
          <w:rFonts w:hint="eastAsia" w:eastAsia="方正小标宋简体"/>
          <w:kern w:val="0"/>
        </w:rPr>
        <w:t>高端金属新材料及新型功能材料专项</w:t>
      </w:r>
      <w:r>
        <w:tab/>
      </w:r>
      <w:r>
        <w:fldChar w:fldCharType="begin"/>
      </w:r>
      <w:r>
        <w:instrText xml:space="preserve"> PAGEREF _Toc83570499 \h </w:instrText>
      </w:r>
      <w:r>
        <w:fldChar w:fldCharType="separate"/>
      </w:r>
      <w:r>
        <w:t>61</w:t>
      </w:r>
      <w:r>
        <w:fldChar w:fldCharType="end"/>
      </w:r>
      <w:r>
        <w:rPr>
          <w:rStyle w:val="1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"_Toc83570500"</w:instrText>
      </w:r>
      <w:r>
        <w:rPr>
          <w:rStyle w:val="10"/>
        </w:rPr>
        <w:instrText xml:space="preserve"> </w:instrText>
      </w:r>
      <w:r>
        <w:rPr>
          <w:rStyle w:val="10"/>
        </w:rPr>
        <w:fldChar w:fldCharType="separate"/>
      </w:r>
      <w:r>
        <w:rPr>
          <w:rStyle w:val="10"/>
          <w:rFonts w:hint="eastAsia" w:eastAsia="黑体"/>
          <w:kern w:val="0"/>
        </w:rPr>
        <w:t>专题一：高端金属新材料</w:t>
      </w:r>
      <w:r>
        <w:tab/>
      </w:r>
      <w:r>
        <w:fldChar w:fldCharType="begin"/>
      </w:r>
      <w:r>
        <w:instrText xml:space="preserve"> PAGEREF _Toc83570500 \h </w:instrText>
      </w:r>
      <w:r>
        <w:fldChar w:fldCharType="separate"/>
      </w:r>
      <w:r>
        <w:t>61</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：铝冶炼综合节能及高端铝合金制备技术研究与应用</w:t>
      </w:r>
      <w:r>
        <w:rPr>
          <w:i w:val="0"/>
        </w:rPr>
        <w:tab/>
      </w:r>
      <w:r>
        <w:rPr>
          <w:i w:val="0"/>
        </w:rPr>
        <w:fldChar w:fldCharType="begin"/>
      </w:r>
      <w:r>
        <w:rPr>
          <w:i w:val="0"/>
        </w:rPr>
        <w:instrText xml:space="preserve"> PAGEREF _Toc83570501 \h </w:instrText>
      </w:r>
      <w:r>
        <w:rPr>
          <w:i w:val="0"/>
        </w:rPr>
        <w:fldChar w:fldCharType="separate"/>
      </w:r>
      <w:r>
        <w:rPr>
          <w:i w:val="0"/>
        </w:rPr>
        <w:t>61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：绿色减量化高性能钢铁新材料开发与应用研究</w:t>
      </w:r>
      <w:r>
        <w:rPr>
          <w:i w:val="0"/>
        </w:rPr>
        <w:tab/>
      </w:r>
      <w:r>
        <w:rPr>
          <w:i w:val="0"/>
        </w:rPr>
        <w:fldChar w:fldCharType="begin"/>
      </w:r>
      <w:r>
        <w:rPr>
          <w:i w:val="0"/>
        </w:rPr>
        <w:instrText xml:space="preserve"> PAGEREF _Toc83570502 \h </w:instrText>
      </w:r>
      <w:r>
        <w:rPr>
          <w:i w:val="0"/>
        </w:rPr>
        <w:fldChar w:fldCharType="separate"/>
      </w:r>
      <w:r>
        <w:rPr>
          <w:i w:val="0"/>
        </w:rPr>
        <w:t>66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：铜冶炼短流程高效综合利用技术研究</w:t>
      </w:r>
      <w:r>
        <w:rPr>
          <w:i w:val="0"/>
        </w:rPr>
        <w:tab/>
      </w:r>
      <w:r>
        <w:rPr>
          <w:i w:val="0"/>
        </w:rPr>
        <w:fldChar w:fldCharType="begin"/>
      </w:r>
      <w:r>
        <w:rPr>
          <w:i w:val="0"/>
        </w:rPr>
        <w:instrText xml:space="preserve"> PAGEREF _Toc83570503 \h </w:instrText>
      </w:r>
      <w:r>
        <w:rPr>
          <w:i w:val="0"/>
        </w:rPr>
        <w:fldChar w:fldCharType="separate"/>
      </w:r>
      <w:r>
        <w:rPr>
          <w:i w:val="0"/>
        </w:rPr>
        <w:t>71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：铟、锡、锑等多金属资源高效开发利用技术研究</w:t>
      </w:r>
      <w:r>
        <w:rPr>
          <w:i w:val="0"/>
        </w:rPr>
        <w:tab/>
      </w:r>
      <w:r>
        <w:rPr>
          <w:i w:val="0"/>
        </w:rPr>
        <w:fldChar w:fldCharType="begin"/>
      </w:r>
      <w:r>
        <w:rPr>
          <w:i w:val="0"/>
        </w:rPr>
        <w:instrText xml:space="preserve"> PAGEREF _Toc83570504 \h </w:instrText>
      </w:r>
      <w:r>
        <w:rPr>
          <w:i w:val="0"/>
        </w:rPr>
        <w:fldChar w:fldCharType="separate"/>
      </w:r>
      <w:r>
        <w:rPr>
          <w:i w:val="0"/>
        </w:rPr>
        <w:t>74</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"_Toc83570505"</w:instrText>
      </w:r>
      <w:r>
        <w:rPr>
          <w:rStyle w:val="10"/>
        </w:rPr>
        <w:instrText xml:space="preserve"> </w:instrText>
      </w:r>
      <w:r>
        <w:rPr>
          <w:rStyle w:val="10"/>
        </w:rPr>
        <w:fldChar w:fldCharType="separate"/>
      </w:r>
      <w:r>
        <w:rPr>
          <w:rStyle w:val="10"/>
          <w:rFonts w:hint="eastAsia" w:eastAsia="黑体"/>
          <w:kern w:val="0"/>
        </w:rPr>
        <w:t>专题二：新型功能材料</w:t>
      </w:r>
      <w:r>
        <w:tab/>
      </w:r>
      <w:r>
        <w:fldChar w:fldCharType="begin"/>
      </w:r>
      <w:r>
        <w:instrText xml:space="preserve"> PAGEREF _Toc83570505 \h </w:instrText>
      </w:r>
      <w:r>
        <w:fldChar w:fldCharType="separate"/>
      </w:r>
      <w:r>
        <w:t>76</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：高安全、高能量密度锂离子电池系统集成技术研究</w:t>
      </w:r>
      <w:r>
        <w:rPr>
          <w:i w:val="0"/>
        </w:rPr>
        <w:tab/>
      </w:r>
      <w:r>
        <w:rPr>
          <w:i w:val="0"/>
        </w:rPr>
        <w:fldChar w:fldCharType="begin"/>
      </w:r>
      <w:r>
        <w:rPr>
          <w:i w:val="0"/>
        </w:rPr>
        <w:instrText xml:space="preserve"> PAGEREF _Toc83570506 \h </w:instrText>
      </w:r>
      <w:r>
        <w:rPr>
          <w:i w:val="0"/>
        </w:rPr>
        <w:fldChar w:fldCharType="separate"/>
      </w:r>
      <w:r>
        <w:rPr>
          <w:i w:val="0"/>
        </w:rPr>
        <w:t>76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6</w:t>
      </w:r>
      <w:r>
        <w:rPr>
          <w:rStyle w:val="10"/>
          <w:rFonts w:hint="eastAsia" w:eastAsia="仿宋_GB2312"/>
          <w:b/>
          <w:i w:val="0"/>
        </w:rPr>
        <w:t>：高能量密度、高安全性全固态锂电池产业化技术研究</w:t>
      </w:r>
      <w:r>
        <w:rPr>
          <w:i w:val="0"/>
        </w:rPr>
        <w:tab/>
      </w:r>
      <w:r>
        <w:rPr>
          <w:i w:val="0"/>
        </w:rPr>
        <w:fldChar w:fldCharType="begin"/>
      </w:r>
      <w:r>
        <w:rPr>
          <w:i w:val="0"/>
        </w:rPr>
        <w:instrText xml:space="preserve"> PAGEREF _Toc83570507 \h </w:instrText>
      </w:r>
      <w:r>
        <w:rPr>
          <w:i w:val="0"/>
        </w:rPr>
        <w:fldChar w:fldCharType="separate"/>
      </w:r>
      <w:r>
        <w:rPr>
          <w:i w:val="0"/>
        </w:rPr>
        <w:t>80</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"_Toc83570508"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7</w:t>
      </w:r>
      <w:r>
        <w:rPr>
          <w:rStyle w:val="10"/>
          <w:rFonts w:hint="eastAsia" w:eastAsia="仿宋_GB2312"/>
          <w:b/>
          <w:i w:val="0"/>
        </w:rPr>
        <w:t>：高纯稀土及高性能稀土基新材料开发与应用研究</w:t>
      </w:r>
      <w:r>
        <w:rPr>
          <w:i w:val="0"/>
        </w:rPr>
        <w:tab/>
      </w:r>
      <w:r>
        <w:rPr>
          <w:i w:val="0"/>
        </w:rPr>
        <w:fldChar w:fldCharType="begin"/>
      </w:r>
      <w:r>
        <w:rPr>
          <w:i w:val="0"/>
        </w:rPr>
        <w:instrText xml:space="preserve"> PAGEREF _Toc83570508 \h </w:instrText>
      </w:r>
      <w:r>
        <w:rPr>
          <w:i w:val="0"/>
        </w:rPr>
        <w:fldChar w:fldCharType="separate"/>
      </w:r>
      <w:r>
        <w:rPr>
          <w:i w:val="0"/>
        </w:rPr>
        <w:t>80</w:t>
      </w:r>
      <w:r>
        <w:rPr>
          <w:i w:val="0"/>
        </w:rPr>
        <w:fldChar w:fldCharType="end"/>
      </w:r>
      <w:r>
        <w:rPr>
          <w:rStyle w:val="10"/>
          <w:i w:val="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"_Toc83570509"</w:instrText>
      </w:r>
      <w:r>
        <w:rPr>
          <w:rStyle w:val="10"/>
        </w:rPr>
        <w:instrText xml:space="preserve"> </w:instrText>
      </w:r>
      <w:r>
        <w:rPr>
          <w:rStyle w:val="10"/>
        </w:rPr>
        <w:fldChar w:fldCharType="separate"/>
      </w:r>
      <w:r>
        <w:rPr>
          <w:rStyle w:val="10"/>
          <w:rFonts w:hint="eastAsia" w:eastAsia="方正小标宋简体"/>
          <w:kern w:val="0"/>
        </w:rPr>
        <w:t>生物医药创制专项</w:t>
      </w:r>
      <w:r>
        <w:tab/>
      </w:r>
      <w:r>
        <w:fldChar w:fldCharType="begin"/>
      </w:r>
      <w:r>
        <w:instrText xml:space="preserve"> PAGEREF _Toc83570509 \h </w:instrText>
      </w:r>
      <w:r>
        <w:fldChar w:fldCharType="separate"/>
      </w:r>
      <w:r>
        <w:t>83</w:t>
      </w:r>
      <w:r>
        <w:fldChar w:fldCharType="end"/>
      </w:r>
      <w:r>
        <w:rPr>
          <w:rStyle w:val="1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"_Toc83570510"</w:instrText>
      </w:r>
      <w:r>
        <w:rPr>
          <w:rStyle w:val="10"/>
        </w:rPr>
        <w:instrText xml:space="preserve"> </w:instrText>
      </w:r>
      <w:r>
        <w:rPr>
          <w:rStyle w:val="10"/>
        </w:rPr>
        <w:fldChar w:fldCharType="separate"/>
      </w:r>
      <w:r>
        <w:rPr>
          <w:rStyle w:val="10"/>
          <w:rFonts w:hint="eastAsia" w:eastAsia="黑体"/>
          <w:kern w:val="0"/>
        </w:rPr>
        <w:t>专题一：中药民族药全产业链技术研究与大健康产品开发</w:t>
      </w:r>
      <w:r>
        <w:tab/>
      </w:r>
      <w:r>
        <w:fldChar w:fldCharType="begin"/>
      </w:r>
      <w:r>
        <w:instrText xml:space="preserve"> PAGEREF _Toc83570510 \h </w:instrText>
      </w:r>
      <w:r>
        <w:fldChar w:fldCharType="separate"/>
      </w:r>
      <w:r>
        <w:t>83</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w:t>
      </w:r>
      <w:r>
        <w:rPr>
          <w:rStyle w:val="10"/>
          <w:rFonts w:eastAsia="仿宋_GB2312"/>
          <w:b/>
          <w:i w:val="0"/>
        </w:rPr>
        <w:t>“</w:t>
      </w:r>
      <w:r>
        <w:rPr>
          <w:rStyle w:val="10"/>
          <w:rFonts w:hint="eastAsia" w:eastAsia="仿宋_GB2312"/>
          <w:b/>
          <w:i w:val="0"/>
        </w:rPr>
        <w:t>桂十味</w:t>
      </w:r>
      <w:r>
        <w:rPr>
          <w:rStyle w:val="10"/>
          <w:rFonts w:eastAsia="仿宋_GB2312"/>
          <w:b/>
          <w:i w:val="0"/>
        </w:rPr>
        <w:t>”</w:t>
      </w:r>
      <w:r>
        <w:rPr>
          <w:rStyle w:val="10"/>
          <w:rFonts w:hint="eastAsia" w:eastAsia="仿宋_GB2312"/>
          <w:b/>
          <w:i w:val="0"/>
        </w:rPr>
        <w:t>和</w:t>
      </w:r>
      <w:r>
        <w:rPr>
          <w:rStyle w:val="10"/>
          <w:rFonts w:eastAsia="仿宋_GB2312"/>
          <w:b/>
          <w:i w:val="0"/>
        </w:rPr>
        <w:t>“</w:t>
      </w:r>
      <w:r>
        <w:rPr>
          <w:rStyle w:val="10"/>
          <w:rFonts w:hint="eastAsia" w:eastAsia="仿宋_GB2312"/>
          <w:b/>
          <w:i w:val="0"/>
        </w:rPr>
        <w:t>区域特色</w:t>
      </w:r>
      <w:r>
        <w:rPr>
          <w:rStyle w:val="10"/>
          <w:rFonts w:eastAsia="仿宋_GB2312"/>
          <w:b/>
          <w:i w:val="0"/>
        </w:rPr>
        <w:t>”</w:t>
      </w:r>
      <w:r>
        <w:rPr>
          <w:rStyle w:val="10"/>
          <w:rFonts w:hint="eastAsia" w:eastAsia="仿宋_GB2312"/>
          <w:b/>
          <w:i w:val="0"/>
        </w:rPr>
        <w:t>等广西特色药材高质量生产关键技术及系列产品开发研究</w:t>
      </w:r>
      <w:r>
        <w:rPr>
          <w:i w:val="0"/>
        </w:rPr>
        <w:tab/>
      </w:r>
      <w:r>
        <w:rPr>
          <w:i w:val="0"/>
        </w:rPr>
        <w:fldChar w:fldCharType="begin"/>
      </w:r>
      <w:r>
        <w:rPr>
          <w:i w:val="0"/>
        </w:rPr>
        <w:instrText xml:space="preserve"> PAGEREF _Toc83570511 \h </w:instrText>
      </w:r>
      <w:r>
        <w:rPr>
          <w:i w:val="0"/>
        </w:rPr>
        <w:fldChar w:fldCharType="separate"/>
      </w:r>
      <w:r>
        <w:rPr>
          <w:i w:val="0"/>
        </w:rPr>
        <w:t>83</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：壮瑶药材品种整理及质量标准提升与产品开发研究</w:t>
      </w:r>
      <w:r>
        <w:rPr>
          <w:i w:val="0"/>
        </w:rPr>
        <w:tab/>
      </w:r>
      <w:r>
        <w:rPr>
          <w:i w:val="0"/>
        </w:rPr>
        <w:fldChar w:fldCharType="begin"/>
      </w:r>
      <w:r>
        <w:rPr>
          <w:i w:val="0"/>
        </w:rPr>
        <w:instrText xml:space="preserve"> PAGEREF _Toc83570512 \h </w:instrText>
      </w:r>
      <w:r>
        <w:rPr>
          <w:i w:val="0"/>
        </w:rPr>
        <w:fldChar w:fldCharType="separate"/>
      </w:r>
      <w:r>
        <w:rPr>
          <w:i w:val="0"/>
        </w:rPr>
        <w:t>84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：桂产特色中药材配方颗粒制备工艺与质量标准及产品开发研究</w:t>
      </w:r>
      <w:r>
        <w:rPr>
          <w:i w:val="0"/>
        </w:rPr>
        <w:tab/>
      </w:r>
      <w:r>
        <w:rPr>
          <w:i w:val="0"/>
        </w:rPr>
        <w:fldChar w:fldCharType="begin"/>
      </w:r>
      <w:r>
        <w:rPr>
          <w:i w:val="0"/>
        </w:rPr>
        <w:instrText xml:space="preserve"> PAGEREF _Toc83570513 \h </w:instrText>
      </w:r>
      <w:r>
        <w:rPr>
          <w:i w:val="0"/>
        </w:rPr>
        <w:fldChar w:fldCharType="separate"/>
      </w:r>
      <w:r>
        <w:rPr>
          <w:i w:val="0"/>
        </w:rPr>
        <w:t>84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：药食同源（两用）植物资源深度挖掘及康旅融合产业化示范</w:t>
      </w:r>
      <w:r>
        <w:rPr>
          <w:i w:val="0"/>
        </w:rPr>
        <w:tab/>
      </w:r>
      <w:r>
        <w:rPr>
          <w:i w:val="0"/>
        </w:rPr>
        <w:fldChar w:fldCharType="begin"/>
      </w:r>
      <w:r>
        <w:rPr>
          <w:i w:val="0"/>
        </w:rPr>
        <w:instrText xml:space="preserve"> PAGEREF _Toc83570514 \h </w:instrText>
      </w:r>
      <w:r>
        <w:rPr>
          <w:i w:val="0"/>
        </w:rPr>
        <w:fldChar w:fldCharType="separate"/>
      </w:r>
      <w:r>
        <w:rPr>
          <w:i w:val="0"/>
        </w:rPr>
        <w:t>85</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"_Toc83570515"</w:instrText>
      </w:r>
      <w:r>
        <w:rPr>
          <w:rStyle w:val="10"/>
        </w:rPr>
        <w:instrText xml:space="preserve"> </w:instrText>
      </w:r>
      <w:r>
        <w:rPr>
          <w:rStyle w:val="10"/>
        </w:rPr>
        <w:fldChar w:fldCharType="separate"/>
      </w:r>
      <w:r>
        <w:rPr>
          <w:rStyle w:val="10"/>
          <w:rFonts w:hint="eastAsia" w:eastAsia="黑体"/>
          <w:kern w:val="0"/>
        </w:rPr>
        <w:t>专题</w:t>
      </w:r>
      <w:r>
        <w:rPr>
          <w:rStyle w:val="10"/>
          <w:rFonts w:eastAsia="黑体"/>
          <w:kern w:val="0"/>
        </w:rPr>
        <w:t>2</w:t>
      </w:r>
      <w:r>
        <w:rPr>
          <w:rStyle w:val="10"/>
          <w:rFonts w:hint="eastAsia" w:eastAsia="黑体"/>
          <w:kern w:val="0"/>
        </w:rPr>
        <w:t>：中药民族药新药创制及二次开发</w:t>
      </w:r>
      <w:r>
        <w:tab/>
      </w:r>
      <w:r>
        <w:fldChar w:fldCharType="begin"/>
      </w:r>
      <w:r>
        <w:instrText xml:space="preserve"> PAGEREF _Toc83570515 \h </w:instrText>
      </w:r>
      <w:r>
        <w:fldChar w:fldCharType="separate"/>
      </w:r>
      <w:r>
        <w:t>86</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：中药民族药创新药产品开发研究</w:t>
      </w:r>
      <w:r>
        <w:rPr>
          <w:i w:val="0"/>
        </w:rPr>
        <w:tab/>
      </w:r>
      <w:r>
        <w:rPr>
          <w:i w:val="0"/>
        </w:rPr>
        <w:fldChar w:fldCharType="begin"/>
      </w:r>
      <w:r>
        <w:rPr>
          <w:i w:val="0"/>
        </w:rPr>
        <w:instrText xml:space="preserve"> PAGEREF _Toc83570516 \h </w:instrText>
      </w:r>
      <w:r>
        <w:rPr>
          <w:i w:val="0"/>
        </w:rPr>
        <w:fldChar w:fldCharType="separate"/>
      </w:r>
      <w:r>
        <w:rPr>
          <w:i w:val="0"/>
        </w:rPr>
        <w:t>86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6</w:t>
      </w:r>
      <w:r>
        <w:rPr>
          <w:rStyle w:val="10"/>
          <w:rFonts w:hint="eastAsia" w:eastAsia="仿宋_GB2312"/>
          <w:b/>
          <w:i w:val="0"/>
        </w:rPr>
        <w:t>：古代经典名方新药及医疗机构制剂的开发研究</w:t>
      </w:r>
      <w:r>
        <w:rPr>
          <w:i w:val="0"/>
        </w:rPr>
        <w:tab/>
      </w:r>
      <w:r>
        <w:rPr>
          <w:i w:val="0"/>
        </w:rPr>
        <w:fldChar w:fldCharType="begin"/>
      </w:r>
      <w:r>
        <w:rPr>
          <w:i w:val="0"/>
        </w:rPr>
        <w:instrText xml:space="preserve"> PAGEREF _Toc83570517 \h </w:instrText>
      </w:r>
      <w:r>
        <w:rPr>
          <w:i w:val="0"/>
        </w:rPr>
        <w:fldChar w:fldCharType="separate"/>
      </w:r>
      <w:r>
        <w:rPr>
          <w:i w:val="0"/>
        </w:rPr>
        <w:t>87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7</w:t>
      </w:r>
      <w:r>
        <w:rPr>
          <w:rStyle w:val="10"/>
          <w:rFonts w:hint="eastAsia" w:eastAsia="仿宋_GB2312"/>
          <w:b/>
          <w:i w:val="0"/>
        </w:rPr>
        <w:t>：优势中成药新增适应症及质量标准提升研究</w:t>
      </w:r>
      <w:r>
        <w:rPr>
          <w:i w:val="0"/>
        </w:rPr>
        <w:tab/>
      </w:r>
      <w:r>
        <w:rPr>
          <w:i w:val="0"/>
        </w:rPr>
        <w:fldChar w:fldCharType="begin"/>
      </w:r>
      <w:r>
        <w:rPr>
          <w:i w:val="0"/>
        </w:rPr>
        <w:instrText xml:space="preserve"> PAGEREF _Toc83570518 \h </w:instrText>
      </w:r>
      <w:r>
        <w:rPr>
          <w:i w:val="0"/>
        </w:rPr>
        <w:fldChar w:fldCharType="separate"/>
      </w:r>
      <w:r>
        <w:rPr>
          <w:i w:val="0"/>
        </w:rPr>
        <w:t>88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"_Toc83570519"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8</w:t>
      </w:r>
      <w:r>
        <w:rPr>
          <w:rStyle w:val="10"/>
          <w:rFonts w:hint="eastAsia" w:eastAsia="仿宋_GB2312"/>
          <w:b/>
          <w:i w:val="0"/>
        </w:rPr>
        <w:t>：优势中成药新剂型与新给药途径及新技术开发研究</w:t>
      </w:r>
      <w:r>
        <w:rPr>
          <w:i w:val="0"/>
        </w:rPr>
        <w:tab/>
      </w:r>
      <w:r>
        <w:rPr>
          <w:i w:val="0"/>
        </w:rPr>
        <w:fldChar w:fldCharType="begin"/>
      </w:r>
      <w:r>
        <w:rPr>
          <w:i w:val="0"/>
        </w:rPr>
        <w:instrText xml:space="preserve"> PAGEREF _Toc83570519 \h </w:instrText>
      </w:r>
      <w:r>
        <w:rPr>
          <w:i w:val="0"/>
        </w:rPr>
        <w:fldChar w:fldCharType="separate"/>
      </w:r>
      <w:r>
        <w:rPr>
          <w:i w:val="0"/>
        </w:rPr>
        <w:t>88</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"_Toc83570520"</w:instrText>
      </w:r>
      <w:r>
        <w:rPr>
          <w:rStyle w:val="10"/>
        </w:rPr>
        <w:instrText xml:space="preserve"> </w:instrText>
      </w:r>
      <w:r>
        <w:rPr>
          <w:rStyle w:val="10"/>
        </w:rPr>
        <w:fldChar w:fldCharType="separate"/>
      </w:r>
      <w:r>
        <w:rPr>
          <w:rStyle w:val="10"/>
          <w:rFonts w:hint="eastAsia" w:eastAsia="黑体"/>
          <w:kern w:val="0"/>
        </w:rPr>
        <w:t>专题</w:t>
      </w:r>
      <w:r>
        <w:rPr>
          <w:rStyle w:val="10"/>
          <w:rFonts w:eastAsia="黑体"/>
          <w:kern w:val="0"/>
        </w:rPr>
        <w:t>3</w:t>
      </w:r>
      <w:r>
        <w:rPr>
          <w:rStyle w:val="10"/>
          <w:rFonts w:hint="eastAsia" w:eastAsia="黑体"/>
          <w:kern w:val="0"/>
        </w:rPr>
        <w:t>：化学药物与生物制品研究与产品开发</w:t>
      </w:r>
      <w:r>
        <w:tab/>
      </w:r>
      <w:r>
        <w:fldChar w:fldCharType="begin"/>
      </w:r>
      <w:r>
        <w:instrText xml:space="preserve"> PAGEREF _Toc83570520 \h </w:instrText>
      </w:r>
      <w:r>
        <w:fldChar w:fldCharType="separate"/>
      </w:r>
      <w:r>
        <w:t>89</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9</w:t>
      </w:r>
      <w:r>
        <w:rPr>
          <w:rStyle w:val="10"/>
          <w:rFonts w:hint="eastAsia" w:eastAsia="仿宋_GB2312"/>
          <w:b/>
          <w:i w:val="0"/>
        </w:rPr>
        <w:t>：化学创新药产品开发研究</w:t>
      </w:r>
      <w:r>
        <w:rPr>
          <w:i w:val="0"/>
        </w:rPr>
        <w:tab/>
      </w:r>
      <w:r>
        <w:rPr>
          <w:i w:val="0"/>
        </w:rPr>
        <w:fldChar w:fldCharType="begin"/>
      </w:r>
      <w:r>
        <w:rPr>
          <w:i w:val="0"/>
        </w:rPr>
        <w:instrText xml:space="preserve"> PAGEREF _Toc83570521 \h </w:instrText>
      </w:r>
      <w:r>
        <w:rPr>
          <w:i w:val="0"/>
        </w:rPr>
        <w:fldChar w:fldCharType="separate"/>
      </w:r>
      <w:r>
        <w:rPr>
          <w:i w:val="0"/>
        </w:rPr>
        <w:t>89</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10</w:t>
      </w:r>
      <w:r>
        <w:rPr>
          <w:rStyle w:val="10"/>
          <w:rFonts w:hint="eastAsia" w:eastAsia="仿宋_GB2312"/>
          <w:b/>
          <w:i w:val="0"/>
        </w:rPr>
        <w:t>：化学仿制药产品开发研究</w:t>
      </w:r>
      <w:r>
        <w:rPr>
          <w:i w:val="0"/>
        </w:rPr>
        <w:tab/>
      </w:r>
      <w:r>
        <w:rPr>
          <w:i w:val="0"/>
        </w:rPr>
        <w:fldChar w:fldCharType="begin"/>
      </w:r>
      <w:r>
        <w:rPr>
          <w:i w:val="0"/>
        </w:rPr>
        <w:instrText xml:space="preserve"> PAGEREF _Toc83570522 \h </w:instrText>
      </w:r>
      <w:r>
        <w:rPr>
          <w:i w:val="0"/>
        </w:rPr>
        <w:fldChar w:fldCharType="separate"/>
      </w:r>
      <w:r>
        <w:rPr>
          <w:i w:val="0"/>
        </w:rPr>
        <w:t>90</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11</w:t>
      </w:r>
      <w:r>
        <w:rPr>
          <w:rStyle w:val="10"/>
          <w:rFonts w:hint="eastAsia" w:eastAsia="仿宋_GB2312"/>
          <w:b/>
          <w:i w:val="0"/>
        </w:rPr>
        <w:t>：仿制药质量与疗效一致性评价技术研究</w:t>
      </w:r>
      <w:r>
        <w:rPr>
          <w:i w:val="0"/>
        </w:rPr>
        <w:tab/>
      </w:r>
      <w:r>
        <w:rPr>
          <w:i w:val="0"/>
        </w:rPr>
        <w:fldChar w:fldCharType="begin"/>
      </w:r>
      <w:r>
        <w:rPr>
          <w:i w:val="0"/>
        </w:rPr>
        <w:instrText xml:space="preserve"> PAGEREF _Toc83570523 \h </w:instrText>
      </w:r>
      <w:r>
        <w:rPr>
          <w:i w:val="0"/>
        </w:rPr>
        <w:fldChar w:fldCharType="separate"/>
      </w:r>
      <w:r>
        <w:rPr>
          <w:i w:val="0"/>
        </w:rPr>
        <w:t>91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12</w:t>
      </w:r>
      <w:r>
        <w:rPr>
          <w:rStyle w:val="10"/>
          <w:rFonts w:hint="eastAsia" w:eastAsia="仿宋_GB2312"/>
          <w:b/>
          <w:i w:val="0"/>
        </w:rPr>
        <w:t>：化学药物新型给药系统制剂产品开发研究</w:t>
      </w:r>
      <w:r>
        <w:rPr>
          <w:i w:val="0"/>
        </w:rPr>
        <w:tab/>
      </w:r>
      <w:r>
        <w:rPr>
          <w:i w:val="0"/>
        </w:rPr>
        <w:fldChar w:fldCharType="begin"/>
      </w:r>
      <w:r>
        <w:rPr>
          <w:i w:val="0"/>
        </w:rPr>
        <w:instrText xml:space="preserve"> PAGEREF _Toc83570524 \h </w:instrText>
      </w:r>
      <w:r>
        <w:rPr>
          <w:i w:val="0"/>
        </w:rPr>
        <w:fldChar w:fldCharType="separate"/>
      </w:r>
      <w:r>
        <w:rPr>
          <w:i w:val="0"/>
        </w:rPr>
        <w:t>92</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13</w:t>
      </w:r>
      <w:r>
        <w:rPr>
          <w:rStyle w:val="10"/>
          <w:rFonts w:hint="eastAsia" w:eastAsia="仿宋_GB2312"/>
          <w:b/>
          <w:i w:val="0"/>
        </w:rPr>
        <w:t>：生物制品技术研究与产品开发</w:t>
      </w:r>
      <w:r>
        <w:rPr>
          <w:i w:val="0"/>
        </w:rPr>
        <w:tab/>
      </w:r>
      <w:r>
        <w:rPr>
          <w:i w:val="0"/>
        </w:rPr>
        <w:fldChar w:fldCharType="begin"/>
      </w:r>
      <w:r>
        <w:rPr>
          <w:i w:val="0"/>
        </w:rPr>
        <w:instrText xml:space="preserve"> PAGEREF _Toc83570525 \h </w:instrText>
      </w:r>
      <w:r>
        <w:rPr>
          <w:i w:val="0"/>
        </w:rPr>
        <w:fldChar w:fldCharType="separate"/>
      </w:r>
      <w:r>
        <w:rPr>
          <w:i w:val="0"/>
        </w:rPr>
        <w:t>93</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"_Toc83570526"</w:instrText>
      </w:r>
      <w:r>
        <w:rPr>
          <w:rStyle w:val="10"/>
        </w:rPr>
        <w:instrText xml:space="preserve"> </w:instrText>
      </w:r>
      <w:r>
        <w:rPr>
          <w:rStyle w:val="10"/>
        </w:rPr>
        <w:fldChar w:fldCharType="separate"/>
      </w:r>
      <w:r>
        <w:rPr>
          <w:rStyle w:val="10"/>
          <w:rFonts w:hint="eastAsia" w:eastAsia="黑体"/>
          <w:kern w:val="0"/>
        </w:rPr>
        <w:t>专题</w:t>
      </w:r>
      <w:r>
        <w:rPr>
          <w:rStyle w:val="10"/>
          <w:rFonts w:eastAsia="黑体"/>
          <w:kern w:val="0"/>
        </w:rPr>
        <w:t>4</w:t>
      </w:r>
      <w:r>
        <w:rPr>
          <w:rStyle w:val="10"/>
          <w:rFonts w:hint="eastAsia" w:eastAsia="黑体"/>
          <w:kern w:val="0"/>
        </w:rPr>
        <w:t>：</w:t>
      </w:r>
      <w:r>
        <w:rPr>
          <w:rStyle w:val="10"/>
          <w:rFonts w:eastAsia="黑体"/>
          <w:kern w:val="0"/>
        </w:rPr>
        <w:t xml:space="preserve"> </w:t>
      </w:r>
      <w:r>
        <w:rPr>
          <w:rStyle w:val="10"/>
          <w:rFonts w:hint="eastAsia" w:eastAsia="黑体"/>
          <w:kern w:val="0"/>
        </w:rPr>
        <w:t>绿色生物制造关键技术及产品开发</w:t>
      </w:r>
      <w:r>
        <w:tab/>
      </w:r>
      <w:r>
        <w:fldChar w:fldCharType="begin"/>
      </w:r>
      <w:r>
        <w:instrText xml:space="preserve"> PAGEREF _Toc83570526 \h </w:instrText>
      </w:r>
      <w:r>
        <w:fldChar w:fldCharType="separate"/>
      </w:r>
      <w:r>
        <w:t>94</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14</w:t>
      </w:r>
      <w:r>
        <w:rPr>
          <w:rStyle w:val="10"/>
          <w:rFonts w:hint="eastAsia" w:eastAsia="仿宋_GB2312"/>
          <w:b/>
          <w:i w:val="0"/>
        </w:rPr>
        <w:t>：微生物关键技术研究与高端产品开发</w:t>
      </w:r>
      <w:r>
        <w:rPr>
          <w:i w:val="0"/>
        </w:rPr>
        <w:tab/>
      </w:r>
      <w:r>
        <w:rPr>
          <w:i w:val="0"/>
        </w:rPr>
        <w:fldChar w:fldCharType="begin"/>
      </w:r>
      <w:r>
        <w:rPr>
          <w:i w:val="0"/>
        </w:rPr>
        <w:instrText xml:space="preserve"> PAGEREF _Toc83570527 \h </w:instrText>
      </w:r>
      <w:r>
        <w:rPr>
          <w:i w:val="0"/>
        </w:rPr>
        <w:fldChar w:fldCharType="separate"/>
      </w:r>
      <w:r>
        <w:rPr>
          <w:i w:val="0"/>
        </w:rPr>
        <w:t>94</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15</w:t>
      </w:r>
      <w:r>
        <w:rPr>
          <w:rStyle w:val="10"/>
          <w:rFonts w:hint="eastAsia" w:eastAsia="仿宋_GB2312"/>
          <w:b/>
          <w:i w:val="0"/>
        </w:rPr>
        <w:t>：生物工程关键技术研究与高端产品开发</w:t>
      </w:r>
      <w:r>
        <w:rPr>
          <w:i w:val="0"/>
        </w:rPr>
        <w:tab/>
      </w:r>
      <w:r>
        <w:rPr>
          <w:i w:val="0"/>
        </w:rPr>
        <w:fldChar w:fldCharType="begin"/>
      </w:r>
      <w:r>
        <w:rPr>
          <w:i w:val="0"/>
        </w:rPr>
        <w:instrText xml:space="preserve"> PAGEREF _Toc83570528 \h </w:instrText>
      </w:r>
      <w:r>
        <w:rPr>
          <w:i w:val="0"/>
        </w:rPr>
        <w:fldChar w:fldCharType="separate"/>
      </w:r>
      <w:r>
        <w:rPr>
          <w:i w:val="0"/>
        </w:rPr>
        <w:t>95</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"_Toc83570529"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16</w:t>
      </w:r>
      <w:r>
        <w:rPr>
          <w:rStyle w:val="10"/>
          <w:rFonts w:hint="eastAsia" w:eastAsia="仿宋_GB2312"/>
          <w:b/>
          <w:i w:val="0"/>
        </w:rPr>
        <w:t>：生物材料与高端智造及产品开发</w:t>
      </w:r>
      <w:r>
        <w:rPr>
          <w:i w:val="0"/>
        </w:rPr>
        <w:tab/>
      </w:r>
      <w:r>
        <w:rPr>
          <w:i w:val="0"/>
        </w:rPr>
        <w:fldChar w:fldCharType="begin"/>
      </w:r>
      <w:r>
        <w:rPr>
          <w:i w:val="0"/>
        </w:rPr>
        <w:instrText xml:space="preserve"> PAGEREF _Toc83570529 \h </w:instrText>
      </w:r>
      <w:r>
        <w:rPr>
          <w:i w:val="0"/>
        </w:rPr>
        <w:fldChar w:fldCharType="separate"/>
      </w:r>
      <w:r>
        <w:rPr>
          <w:i w:val="0"/>
        </w:rPr>
        <w:t>95</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"_Toc83570530"</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17</w:t>
      </w:r>
      <w:r>
        <w:rPr>
          <w:rStyle w:val="10"/>
          <w:rFonts w:hint="eastAsia" w:eastAsia="仿宋_GB2312"/>
          <w:b/>
          <w:i w:val="0"/>
        </w:rPr>
        <w:t>：生物质能源关键技术研究与高端产品开发</w:t>
      </w:r>
      <w:r>
        <w:rPr>
          <w:i w:val="0"/>
        </w:rPr>
        <w:tab/>
      </w:r>
      <w:r>
        <w:rPr>
          <w:i w:val="0"/>
        </w:rPr>
        <w:fldChar w:fldCharType="begin"/>
      </w:r>
      <w:r>
        <w:rPr>
          <w:i w:val="0"/>
        </w:rPr>
        <w:instrText xml:space="preserve"> PAGEREF _Toc83570530 \h </w:instrText>
      </w:r>
      <w:r>
        <w:rPr>
          <w:i w:val="0"/>
        </w:rPr>
        <w:fldChar w:fldCharType="separate"/>
      </w:r>
      <w:r>
        <w:rPr>
          <w:i w:val="0"/>
        </w:rPr>
        <w:t>96</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"_Toc83570531"</w:instrText>
      </w:r>
      <w:r>
        <w:rPr>
          <w:rStyle w:val="10"/>
        </w:rPr>
        <w:instrText xml:space="preserve"> </w:instrText>
      </w:r>
      <w:r>
        <w:rPr>
          <w:rStyle w:val="10"/>
        </w:rPr>
        <w:fldChar w:fldCharType="separate"/>
      </w:r>
      <w:r>
        <w:rPr>
          <w:rStyle w:val="10"/>
          <w:rFonts w:hint="eastAsia" w:eastAsia="黑体"/>
          <w:kern w:val="0"/>
        </w:rPr>
        <w:t>专题</w:t>
      </w:r>
      <w:r>
        <w:rPr>
          <w:rStyle w:val="10"/>
          <w:rFonts w:eastAsia="黑体"/>
          <w:kern w:val="0"/>
        </w:rPr>
        <w:t>5</w:t>
      </w:r>
      <w:r>
        <w:rPr>
          <w:rStyle w:val="10"/>
          <w:rFonts w:hint="eastAsia" w:eastAsia="黑体"/>
          <w:kern w:val="0"/>
        </w:rPr>
        <w:t>：医用材料与医疗器械技术研究及产品开发</w:t>
      </w:r>
      <w:r>
        <w:tab/>
      </w:r>
      <w:r>
        <w:fldChar w:fldCharType="begin"/>
      </w:r>
      <w:r>
        <w:instrText xml:space="preserve"> PAGEREF _Toc83570531 \h </w:instrText>
      </w:r>
      <w:r>
        <w:fldChar w:fldCharType="separate"/>
      </w:r>
      <w:r>
        <w:t>97</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18</w:t>
      </w:r>
      <w:r>
        <w:rPr>
          <w:rStyle w:val="10"/>
          <w:rFonts w:hint="eastAsia" w:eastAsia="仿宋_GB2312"/>
          <w:b/>
          <w:i w:val="0"/>
        </w:rPr>
        <w:t>：新型医疗器械产品开发研究</w:t>
      </w:r>
      <w:r>
        <w:rPr>
          <w:i w:val="0"/>
        </w:rPr>
        <w:tab/>
      </w:r>
      <w:r>
        <w:rPr>
          <w:i w:val="0"/>
        </w:rPr>
        <w:fldChar w:fldCharType="begin"/>
      </w:r>
      <w:r>
        <w:rPr>
          <w:i w:val="0"/>
        </w:rPr>
        <w:instrText xml:space="preserve"> PAGEREF _Toc83570532 \h </w:instrText>
      </w:r>
      <w:r>
        <w:rPr>
          <w:i w:val="0"/>
        </w:rPr>
        <w:fldChar w:fldCharType="separate"/>
      </w:r>
      <w:r>
        <w:rPr>
          <w:i w:val="0"/>
        </w:rPr>
        <w:t>97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"_Toc83570533"</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19</w:t>
      </w:r>
      <w:r>
        <w:rPr>
          <w:rStyle w:val="10"/>
          <w:rFonts w:hint="eastAsia" w:eastAsia="仿宋_GB2312"/>
          <w:b/>
          <w:i w:val="0"/>
        </w:rPr>
        <w:t>：创新体外诊断试剂及设备研发</w:t>
      </w:r>
      <w:r>
        <w:rPr>
          <w:i w:val="0"/>
        </w:rPr>
        <w:tab/>
      </w:r>
      <w:r>
        <w:rPr>
          <w:i w:val="0"/>
        </w:rPr>
        <w:fldChar w:fldCharType="begin"/>
      </w:r>
      <w:r>
        <w:rPr>
          <w:i w:val="0"/>
        </w:rPr>
        <w:instrText xml:space="preserve"> PAGEREF _Toc83570533 \h </w:instrText>
      </w:r>
      <w:r>
        <w:rPr>
          <w:i w:val="0"/>
        </w:rPr>
        <w:fldChar w:fldCharType="separate"/>
      </w:r>
      <w:r>
        <w:rPr>
          <w:i w:val="0"/>
        </w:rPr>
        <w:t>97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"_Toc83570534"</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20</w:t>
      </w:r>
      <w:r>
        <w:rPr>
          <w:rStyle w:val="10"/>
          <w:rFonts w:hint="eastAsia" w:eastAsia="仿宋_GB2312"/>
          <w:b/>
          <w:i w:val="0"/>
        </w:rPr>
        <w:t>：智能医用康复器械与健康产品研发</w:t>
      </w:r>
      <w:r>
        <w:rPr>
          <w:i w:val="0"/>
        </w:rPr>
        <w:tab/>
      </w:r>
      <w:r>
        <w:rPr>
          <w:i w:val="0"/>
        </w:rPr>
        <w:fldChar w:fldCharType="begin"/>
      </w:r>
      <w:r>
        <w:rPr>
          <w:i w:val="0"/>
        </w:rPr>
        <w:instrText xml:space="preserve"> PAGEREF _Toc83570534 \h </w:instrText>
      </w:r>
      <w:r>
        <w:rPr>
          <w:i w:val="0"/>
        </w:rPr>
        <w:fldChar w:fldCharType="separate"/>
      </w:r>
      <w:r>
        <w:rPr>
          <w:i w:val="0"/>
        </w:rPr>
        <w:t>98</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21</w:t>
      </w:r>
      <w:r>
        <w:rPr>
          <w:rStyle w:val="10"/>
          <w:rFonts w:hint="eastAsia" w:eastAsia="仿宋_GB2312"/>
          <w:b/>
          <w:i w:val="0"/>
        </w:rPr>
        <w:t>：医用软件、智慧医疗产品及终端研发</w:t>
      </w:r>
      <w:r>
        <w:rPr>
          <w:i w:val="0"/>
        </w:rPr>
        <w:tab/>
      </w:r>
      <w:r>
        <w:rPr>
          <w:i w:val="0"/>
        </w:rPr>
        <w:fldChar w:fldCharType="begin"/>
      </w:r>
      <w:r>
        <w:rPr>
          <w:i w:val="0"/>
        </w:rPr>
        <w:instrText xml:space="preserve"> PAGEREF _Toc83570535 \h </w:instrText>
      </w:r>
      <w:r>
        <w:rPr>
          <w:i w:val="0"/>
        </w:rPr>
        <w:fldChar w:fldCharType="separate"/>
      </w:r>
      <w:r>
        <w:rPr>
          <w:i w:val="0"/>
        </w:rPr>
        <w:t>99</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22</w:t>
      </w:r>
      <w:r>
        <w:rPr>
          <w:rStyle w:val="10"/>
          <w:rFonts w:hint="eastAsia" w:eastAsia="仿宋_GB2312"/>
          <w:b/>
          <w:i w:val="0"/>
        </w:rPr>
        <w:t>：生物医用材料及器械研发</w:t>
      </w:r>
      <w:r>
        <w:rPr>
          <w:i w:val="0"/>
        </w:rPr>
        <w:tab/>
      </w:r>
      <w:r>
        <w:rPr>
          <w:i w:val="0"/>
        </w:rPr>
        <w:fldChar w:fldCharType="begin"/>
      </w:r>
      <w:r>
        <w:rPr>
          <w:i w:val="0"/>
        </w:rPr>
        <w:instrText xml:space="preserve"> PAGEREF _Toc83570536 \h </w:instrText>
      </w:r>
      <w:r>
        <w:rPr>
          <w:i w:val="0"/>
        </w:rPr>
        <w:fldChar w:fldCharType="separate"/>
      </w:r>
      <w:r>
        <w:rPr>
          <w:i w:val="0"/>
        </w:rPr>
        <w:t>100</w:t>
      </w:r>
      <w:r>
        <w:rPr>
          <w:i w:val="0"/>
        </w:rPr>
        <w:fldChar w:fldCharType="end"/>
      </w:r>
      <w:r>
        <w:rPr>
          <w:rStyle w:val="10"/>
          <w:i w:val="0"/>
        </w:rPr>
        <w:fldChar w:fldCharType="end"/>
      </w:r>
    </w:p>
    <w:p>
      <w:pPr>
        <w:pStyle w:val="6"/>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smallCaps w:val="0"/>
          <w:sz w:val="21"/>
          <w:szCs w:val="22"/>
        </w:rPr>
      </w:pPr>
      <w:r>
        <w:rPr>
          <w:rStyle w:val="10"/>
        </w:rPr>
        <w:fldChar w:fldCharType="begin"/>
      </w:r>
      <w:r>
        <w:rPr>
          <w:rStyle w:val="10"/>
        </w:rPr>
        <w:instrText xml:space="preserve"> </w:instrText>
      </w:r>
      <w:r>
        <w:instrText xml:space="preserve">HYPERLINK \l "_Toc83570537"</w:instrText>
      </w:r>
      <w:r>
        <w:rPr>
          <w:rStyle w:val="10"/>
        </w:rPr>
        <w:instrText xml:space="preserve"> </w:instrText>
      </w:r>
      <w:r>
        <w:rPr>
          <w:rStyle w:val="10"/>
        </w:rPr>
        <w:fldChar w:fldCharType="separate"/>
      </w:r>
      <w:r>
        <w:rPr>
          <w:rStyle w:val="10"/>
          <w:rFonts w:hint="eastAsia" w:eastAsia="黑体"/>
          <w:kern w:val="0"/>
        </w:rPr>
        <w:t>专题</w:t>
      </w:r>
      <w:r>
        <w:rPr>
          <w:rStyle w:val="10"/>
          <w:rFonts w:eastAsia="黑体"/>
          <w:kern w:val="0"/>
        </w:rPr>
        <w:t>6</w:t>
      </w:r>
      <w:r>
        <w:rPr>
          <w:rStyle w:val="10"/>
          <w:rFonts w:hint="eastAsia" w:eastAsia="黑体"/>
          <w:kern w:val="0"/>
        </w:rPr>
        <w:t>：新型医疗健康服务模式创新研究与产品开发</w:t>
      </w:r>
      <w:r>
        <w:tab/>
      </w:r>
      <w:r>
        <w:fldChar w:fldCharType="begin"/>
      </w:r>
      <w:r>
        <w:instrText xml:space="preserve"> PAGEREF _Toc83570537 \h </w:instrText>
      </w:r>
      <w:r>
        <w:fldChar w:fldCharType="separate"/>
      </w:r>
      <w:r>
        <w:t>101</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23</w:t>
      </w:r>
      <w:r>
        <w:rPr>
          <w:rStyle w:val="10"/>
          <w:rFonts w:hint="eastAsia" w:eastAsia="仿宋_GB2312"/>
          <w:b/>
          <w:i w:val="0"/>
        </w:rPr>
        <w:t>：药物干预与非药物干预协同服务模式构建及产业发展</w:t>
      </w:r>
      <w:r>
        <w:rPr>
          <w:i w:val="0"/>
        </w:rPr>
        <w:tab/>
      </w:r>
      <w:r>
        <w:rPr>
          <w:i w:val="0"/>
        </w:rPr>
        <w:fldChar w:fldCharType="begin"/>
      </w:r>
      <w:r>
        <w:rPr>
          <w:i w:val="0"/>
        </w:rPr>
        <w:instrText xml:space="preserve"> PAGEREF _Toc83570538 \h </w:instrText>
      </w:r>
      <w:r>
        <w:rPr>
          <w:i w:val="0"/>
        </w:rPr>
        <w:fldChar w:fldCharType="separate"/>
      </w:r>
      <w:r>
        <w:rPr>
          <w:i w:val="0"/>
        </w:rPr>
        <w:t>101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"_Toc83570539"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24</w:t>
      </w:r>
      <w:r>
        <w:rPr>
          <w:rStyle w:val="10"/>
          <w:rFonts w:hint="eastAsia" w:eastAsia="仿宋_GB2312"/>
          <w:b/>
          <w:i w:val="0"/>
        </w:rPr>
        <w:t>：构建基于专业指导的健康自主管理服务模式及产业发展</w:t>
      </w:r>
      <w:r>
        <w:rPr>
          <w:i w:val="0"/>
        </w:rPr>
        <w:tab/>
      </w:r>
      <w:r>
        <w:rPr>
          <w:i w:val="0"/>
        </w:rPr>
        <w:fldChar w:fldCharType="begin"/>
      </w:r>
      <w:r>
        <w:rPr>
          <w:i w:val="0"/>
        </w:rPr>
        <w:instrText xml:space="preserve"> PAGEREF _Toc83570539 \h </w:instrText>
      </w:r>
      <w:r>
        <w:rPr>
          <w:i w:val="0"/>
        </w:rPr>
        <w:fldChar w:fldCharType="separate"/>
      </w:r>
      <w:r>
        <w:rPr>
          <w:i w:val="0"/>
        </w:rPr>
        <w:t>101</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"_Toc83570540"</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25</w:t>
      </w:r>
      <w:r>
        <w:rPr>
          <w:rStyle w:val="10"/>
          <w:rFonts w:hint="eastAsia" w:eastAsia="仿宋_GB2312"/>
          <w:b/>
          <w:i w:val="0"/>
        </w:rPr>
        <w:t>：院前院中院后连续服务模式构建及产业发展</w:t>
      </w:r>
      <w:r>
        <w:rPr>
          <w:i w:val="0"/>
        </w:rPr>
        <w:tab/>
      </w:r>
      <w:r>
        <w:rPr>
          <w:i w:val="0"/>
        </w:rPr>
        <w:fldChar w:fldCharType="begin"/>
      </w:r>
      <w:r>
        <w:rPr>
          <w:i w:val="0"/>
        </w:rPr>
        <w:instrText xml:space="preserve"> PAGEREF _Toc83570540 \h </w:instrText>
      </w:r>
      <w:r>
        <w:rPr>
          <w:i w:val="0"/>
        </w:rPr>
        <w:fldChar w:fldCharType="separate"/>
      </w:r>
      <w:r>
        <w:rPr>
          <w:i w:val="0"/>
        </w:rPr>
        <w:t>102</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"_Toc83570541"</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26</w:t>
      </w:r>
      <w:r>
        <w:rPr>
          <w:rStyle w:val="10"/>
          <w:rFonts w:hint="eastAsia" w:eastAsia="仿宋_GB2312"/>
          <w:b/>
          <w:i w:val="0"/>
        </w:rPr>
        <w:t>：智能人居环境服务模式构建及产品开发</w:t>
      </w:r>
      <w:r>
        <w:rPr>
          <w:i w:val="0"/>
        </w:rPr>
        <w:tab/>
      </w:r>
      <w:r>
        <w:rPr>
          <w:i w:val="0"/>
        </w:rPr>
        <w:fldChar w:fldCharType="begin"/>
      </w:r>
      <w:r>
        <w:rPr>
          <w:i w:val="0"/>
        </w:rPr>
        <w:instrText xml:space="preserve"> PAGEREF _Toc83570541 \h </w:instrText>
      </w:r>
      <w:r>
        <w:rPr>
          <w:i w:val="0"/>
        </w:rPr>
        <w:fldChar w:fldCharType="separate"/>
      </w:r>
      <w:r>
        <w:rPr>
          <w:i w:val="0"/>
        </w:rPr>
        <w:t>103</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"_Toc83570542"</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27</w:t>
      </w:r>
      <w:r>
        <w:rPr>
          <w:rStyle w:val="10"/>
          <w:rFonts w:hint="eastAsia" w:eastAsia="仿宋_GB2312"/>
          <w:b/>
          <w:i w:val="0"/>
        </w:rPr>
        <w:t>：流动医疗服务模式构建及重点产品开发</w:t>
      </w:r>
      <w:r>
        <w:rPr>
          <w:i w:val="0"/>
        </w:rPr>
        <w:tab/>
      </w:r>
      <w:r>
        <w:rPr>
          <w:i w:val="0"/>
        </w:rPr>
        <w:fldChar w:fldCharType="begin"/>
      </w:r>
      <w:r>
        <w:rPr>
          <w:i w:val="0"/>
        </w:rPr>
        <w:instrText xml:space="preserve"> PAGEREF _Toc83570542 \h </w:instrText>
      </w:r>
      <w:r>
        <w:rPr>
          <w:i w:val="0"/>
        </w:rPr>
        <w:fldChar w:fldCharType="separate"/>
      </w:r>
      <w:r>
        <w:rPr>
          <w:i w:val="0"/>
        </w:rPr>
        <w:t>104</w:t>
      </w:r>
      <w:r>
        <w:rPr>
          <w:i w:val="0"/>
        </w:rPr>
        <w:fldChar w:fldCharType="end"/>
      </w:r>
      <w:r>
        <w:rPr>
          <w:rStyle w:val="10"/>
          <w:i w:val="0"/>
        </w:rPr>
        <w:fldChar w:fldCharType="end"/>
      </w:r>
    </w:p>
    <w:p>
      <w:pPr>
        <w:pStyle w:val="5"/>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b w:val="0"/>
          <w:bCs w:val="0"/>
          <w:caps w:val="0"/>
          <w:sz w:val="21"/>
          <w:szCs w:val="22"/>
        </w:rPr>
      </w:pPr>
      <w:r>
        <w:rPr>
          <w:rStyle w:val="10"/>
        </w:rPr>
        <w:fldChar w:fldCharType="begin"/>
      </w:r>
      <w:r>
        <w:rPr>
          <w:rStyle w:val="10"/>
        </w:rPr>
        <w:instrText xml:space="preserve"> </w:instrText>
      </w:r>
      <w:r>
        <w:instrText xml:space="preserve">HYPERLINK \l "_Toc83570544"</w:instrText>
      </w:r>
      <w:r>
        <w:rPr>
          <w:rStyle w:val="10"/>
        </w:rPr>
        <w:instrText xml:space="preserve"> </w:instrText>
      </w:r>
      <w:r>
        <w:rPr>
          <w:rStyle w:val="10"/>
        </w:rPr>
        <w:fldChar w:fldCharType="separate"/>
      </w:r>
      <w:r>
        <w:rPr>
          <w:rStyle w:val="10"/>
          <w:rFonts w:hint="eastAsia" w:eastAsia="方正小标宋简体"/>
          <w:kern w:val="0"/>
        </w:rPr>
        <w:t>现代特色农业专项</w:t>
      </w:r>
      <w:r>
        <w:tab/>
      </w:r>
      <w:r>
        <w:fldChar w:fldCharType="begin"/>
      </w:r>
      <w:r>
        <w:instrText xml:space="preserve"> PAGEREF _Toc83570544 \h </w:instrText>
      </w:r>
      <w:r>
        <w:fldChar w:fldCharType="separate"/>
      </w:r>
      <w:r>
        <w:t>105</w:t>
      </w:r>
      <w:r>
        <w:fldChar w:fldCharType="end"/>
      </w:r>
      <w:r>
        <w:rPr>
          <w:rStyle w:val="1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"_Toc83570545"</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1</w:t>
      </w:r>
      <w:r>
        <w:rPr>
          <w:rStyle w:val="10"/>
          <w:rFonts w:hint="eastAsia" w:eastAsia="仿宋_GB2312"/>
          <w:b/>
          <w:i w:val="0"/>
        </w:rPr>
        <w:t>：广西主要粮食作物突破性新品种选育及示范应用</w:t>
      </w:r>
      <w:r>
        <w:rPr>
          <w:i w:val="0"/>
        </w:rPr>
        <w:tab/>
      </w:r>
      <w:r>
        <w:rPr>
          <w:i w:val="0"/>
        </w:rPr>
        <w:fldChar w:fldCharType="begin"/>
      </w:r>
      <w:r>
        <w:rPr>
          <w:i w:val="0"/>
        </w:rPr>
        <w:instrText xml:space="preserve"> PAGEREF _Toc83570545 \h </w:instrText>
      </w:r>
      <w:r>
        <w:rPr>
          <w:i w:val="0"/>
        </w:rPr>
        <w:fldChar w:fldCharType="separate"/>
      </w:r>
      <w:r>
        <w:rPr>
          <w:i w:val="0"/>
        </w:rPr>
        <w:t>105</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"_Toc83570546"</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2</w:t>
      </w:r>
      <w:r>
        <w:rPr>
          <w:rStyle w:val="10"/>
          <w:rFonts w:hint="eastAsia" w:eastAsia="仿宋_GB2312"/>
          <w:b/>
          <w:i w:val="0"/>
        </w:rPr>
        <w:t>：广西优势特色水果新品种选育及示范应用</w:t>
      </w:r>
      <w:r>
        <w:rPr>
          <w:i w:val="0"/>
        </w:rPr>
        <w:tab/>
      </w:r>
      <w:r>
        <w:rPr>
          <w:i w:val="0"/>
        </w:rPr>
        <w:fldChar w:fldCharType="begin"/>
      </w:r>
      <w:r>
        <w:rPr>
          <w:i w:val="0"/>
        </w:rPr>
        <w:instrText xml:space="preserve"> PAGEREF _Toc83570546 \h </w:instrText>
      </w:r>
      <w:r>
        <w:rPr>
          <w:i w:val="0"/>
        </w:rPr>
        <w:fldChar w:fldCharType="separate"/>
      </w:r>
      <w:r>
        <w:rPr>
          <w:i w:val="0"/>
        </w:rPr>
        <w:t>107</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"_Toc83570547"</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3</w:t>
      </w:r>
      <w:r>
        <w:rPr>
          <w:rStyle w:val="10"/>
          <w:rFonts w:hint="eastAsia" w:eastAsia="仿宋_GB2312"/>
          <w:b/>
          <w:i w:val="0"/>
        </w:rPr>
        <w:t>：广西主栽蔬菜新品种选育及示范应用</w:t>
      </w:r>
      <w:r>
        <w:rPr>
          <w:i w:val="0"/>
        </w:rPr>
        <w:tab/>
      </w:r>
      <w:r>
        <w:rPr>
          <w:i w:val="0"/>
        </w:rPr>
        <w:fldChar w:fldCharType="begin"/>
      </w:r>
      <w:r>
        <w:rPr>
          <w:i w:val="0"/>
        </w:rPr>
        <w:instrText xml:space="preserve"> PAGEREF _Toc83570547 \h </w:instrText>
      </w:r>
      <w:r>
        <w:rPr>
          <w:i w:val="0"/>
        </w:rPr>
        <w:fldChar w:fldCharType="separate"/>
      </w:r>
      <w:r>
        <w:rPr>
          <w:i w:val="0"/>
        </w:rPr>
        <w:t>112</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"_Toc83570548"</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4</w:t>
      </w:r>
      <w:r>
        <w:rPr>
          <w:rStyle w:val="10"/>
          <w:rFonts w:hint="eastAsia" w:eastAsia="仿宋_GB2312"/>
          <w:b/>
          <w:i w:val="0"/>
        </w:rPr>
        <w:t>：广西六堡茶产业高质量发展关键技术研发与应用</w:t>
      </w:r>
      <w:r>
        <w:rPr>
          <w:i w:val="0"/>
        </w:rPr>
        <w:tab/>
      </w:r>
      <w:r>
        <w:rPr>
          <w:i w:val="0"/>
        </w:rPr>
        <w:fldChar w:fldCharType="begin"/>
      </w:r>
      <w:r>
        <w:rPr>
          <w:i w:val="0"/>
        </w:rPr>
        <w:instrText xml:space="preserve"> PAGEREF _Toc83570548 \h </w:instrText>
      </w:r>
      <w:r>
        <w:rPr>
          <w:i w:val="0"/>
        </w:rPr>
        <w:fldChar w:fldCharType="separate"/>
      </w:r>
      <w:r>
        <w:rPr>
          <w:i w:val="0"/>
        </w:rPr>
        <w:t>116</w:t>
      </w:r>
      <w:r>
        <w:rPr>
          <w:i w:val="0"/>
        </w:rPr>
        <w:fldChar w:fldCharType="end"/>
      </w:r>
      <w:r>
        <w:rPr>
          <w:rStyle w:val="10"/>
          <w:i w:val="0"/>
        </w:rPr>
        <w:fldChar w:fldCharType="end"/>
      </w:r>
    </w:p>
    <w:p>
      <w:pPr>
        <w:pStyle w:val="2"/>
        <w:keepNext w:val="0"/>
        <w:keepLines w:val="0"/>
        <w:pageBreakBefore w:val="0"/>
        <w:widowControl w:val="0"/>
        <w:tabs>
          <w:tab w:val="right" w:leader="dot" w:pos="8834"/>
        </w:tabs>
        <w:kinsoku/>
        <w:wordWrap/>
        <w:topLinePunct w:val="0"/>
        <w:autoSpaceDE/>
        <w:autoSpaceDN/>
        <w:bidi w:val="0"/>
        <w:adjustRightInd/>
        <w:snapToGrid/>
        <w:textAlignment w:val="auto"/>
        <w:rPr>
          <w:rFonts w:ascii="Calibri" w:hAnsi="Calibri"/>
          <w:i w:val="0"/>
          <w:iCs w:val="0"/>
          <w:sz w:val="21"/>
          <w:szCs w:val="22"/>
        </w:rPr>
      </w:pPr>
      <w:r>
        <w:rPr>
          <w:rStyle w:val="10"/>
          <w:i w:val="0"/>
        </w:rPr>
        <w:fldChar w:fldCharType="begin"/>
      </w:r>
      <w:r>
        <w:rPr>
          <w:rStyle w:val="10"/>
          <w:i w:val="0"/>
        </w:rPr>
        <w:instrText xml:space="preserve"> </w:instrText>
      </w:r>
      <w:r>
        <w:rPr>
          <w:i w:val="0"/>
        </w:rPr>
        <w:instrText xml:space="preserve">HYPERLINK \l "_Toc83570549"</w:instrText>
      </w:r>
      <w:r>
        <w:rPr>
          <w:rStyle w:val="10"/>
          <w:i w:val="0"/>
        </w:rPr>
        <w:instrText xml:space="preserve"> </w:instrText>
      </w:r>
      <w:r>
        <w:rPr>
          <w:rStyle w:val="10"/>
          <w:i w:val="0"/>
        </w:rPr>
        <w:fldChar w:fldCharType="separate"/>
      </w:r>
      <w:r>
        <w:rPr>
          <w:rStyle w:val="10"/>
          <w:rFonts w:hint="eastAsia" w:eastAsia="仿宋_GB2312"/>
          <w:b/>
          <w:i w:val="0"/>
        </w:rPr>
        <w:t>方向</w:t>
      </w:r>
      <w:r>
        <w:rPr>
          <w:rStyle w:val="10"/>
          <w:rFonts w:eastAsia="仿宋_GB2312"/>
          <w:b/>
          <w:i w:val="0"/>
        </w:rPr>
        <w:t>5</w:t>
      </w:r>
      <w:r>
        <w:rPr>
          <w:rStyle w:val="10"/>
          <w:rFonts w:hint="eastAsia" w:eastAsia="仿宋_GB2312"/>
          <w:b/>
          <w:i w:val="0"/>
        </w:rPr>
        <w:t>：广西奶水牛</w:t>
      </w:r>
      <w:r>
        <w:rPr>
          <w:rStyle w:val="10"/>
          <w:rFonts w:eastAsia="仿宋_GB2312"/>
          <w:b/>
          <w:i w:val="0"/>
        </w:rPr>
        <w:t>“</w:t>
      </w:r>
      <w:r>
        <w:rPr>
          <w:rStyle w:val="10"/>
          <w:rFonts w:hint="eastAsia" w:eastAsia="仿宋_GB2312"/>
          <w:b/>
          <w:i w:val="0"/>
        </w:rPr>
        <w:t>十万百亿</w:t>
      </w:r>
      <w:r>
        <w:rPr>
          <w:rStyle w:val="10"/>
          <w:rFonts w:eastAsia="仿宋_GB2312"/>
          <w:b/>
          <w:i w:val="0"/>
        </w:rPr>
        <w:t>”</w:t>
      </w:r>
      <w:r>
        <w:rPr>
          <w:rStyle w:val="10"/>
          <w:rFonts w:hint="eastAsia" w:eastAsia="仿宋_GB2312"/>
          <w:b/>
          <w:i w:val="0"/>
        </w:rPr>
        <w:t>重大技术攻关与产业化示范</w:t>
      </w:r>
      <w:r>
        <w:rPr>
          <w:i w:val="0"/>
        </w:rPr>
        <w:tab/>
      </w:r>
      <w:r>
        <w:rPr>
          <w:i w:val="0"/>
        </w:rPr>
        <w:fldChar w:fldCharType="begin"/>
      </w:r>
      <w:r>
        <w:rPr>
          <w:i w:val="0"/>
        </w:rPr>
        <w:instrText xml:space="preserve"> PAGEREF _Toc83570549 \h </w:instrText>
      </w:r>
      <w:r>
        <w:rPr>
          <w:i w:val="0"/>
        </w:rPr>
        <w:fldChar w:fldCharType="separate"/>
      </w:r>
      <w:r>
        <w:rPr>
          <w:i w:val="0"/>
        </w:rPr>
        <w:t>120</w:t>
      </w:r>
      <w:r>
        <w:rPr>
          <w:i w:val="0"/>
        </w:rPr>
        <w:fldChar w:fldCharType="end"/>
      </w:r>
      <w:r>
        <w:rPr>
          <w:rStyle w:val="10"/>
          <w:i w:val="0"/>
        </w:rPr>
        <w:fldChar w:fldCharType="end"/>
      </w:r>
    </w:p>
    <w:p>
      <w:pPr>
        <w:keepNext w:val="0"/>
        <w:keepLines w:val="0"/>
        <w:pageBreakBefore w:val="0"/>
        <w:widowControl w:val="0"/>
        <w:tabs>
          <w:tab w:val="right" w:leader="middleDot" w:pos="9030"/>
        </w:tabs>
        <w:kinsoku/>
        <w:wordWrap/>
        <w:topLinePunct w:val="0"/>
        <w:autoSpaceDE/>
        <w:autoSpaceDN/>
        <w:bidi w:val="0"/>
        <w:adjustRightInd/>
        <w:snapToGrid/>
        <w:spacing w:line="500" w:lineRule="exact"/>
        <w:textAlignment w:val="auto"/>
        <w:rPr>
          <w:rFonts w:hint="eastAsia" w:ascii="Times New Roman" w:hAnsi="Times New Roman" w:eastAsia="仿宋"/>
          <w:color w:val="000000"/>
          <w:sz w:val="26"/>
          <w:szCs w:val="26"/>
        </w:rPr>
      </w:pPr>
      <w:r>
        <w:rPr>
          <w:rFonts w:ascii="Times New Roman" w:hAnsi="Times New Roman" w:eastAsia="仿宋_GB2312"/>
          <w:color w:val="000000"/>
          <w:sz w:val="24"/>
        </w:rPr>
        <w:fldChar w:fldCharType="end"/>
      </w:r>
      <w:bookmarkEnd w:id="43"/>
      <w:bookmarkEnd w:id="44"/>
      <w:bookmarkEnd w:id="45"/>
      <w:bookmarkStart w:id="68" w:name="_Toc480789266"/>
      <w:bookmarkStart w:id="69" w:name="_Toc480814640"/>
      <w:bookmarkStart w:id="70" w:name="_Toc480793611"/>
      <w:bookmarkStart w:id="71" w:name="_Toc18222"/>
      <w:bookmarkStart w:id="72" w:name="_Toc480793351"/>
    </w:p>
    <w:p>
      <w:pPr>
        <w:keepNext w:val="0"/>
        <w:keepLines w:val="0"/>
        <w:pageBreakBefore w:val="0"/>
        <w:widowControl w:val="0"/>
        <w:tabs>
          <w:tab w:val="right" w:leader="middleDot" w:pos="9030"/>
        </w:tabs>
        <w:kinsoku/>
        <w:wordWrap/>
        <w:topLinePunct w:val="0"/>
        <w:autoSpaceDE/>
        <w:autoSpaceDN/>
        <w:bidi w:val="0"/>
        <w:adjustRightInd/>
        <w:snapToGrid/>
        <w:spacing w:line="420" w:lineRule="exac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28"/>
          <w:szCs w:val="28"/>
        </w:rPr>
        <w:t>注：牵头单位是企业的项目，按不低于1:3比例投入配套研发资金。</w:t>
      </w:r>
    </w:p>
    <w:p>
      <w:pPr>
        <w:keepNext w:val="0"/>
        <w:keepLines w:val="0"/>
        <w:pageBreakBefore w:val="0"/>
        <w:widowControl w:val="0"/>
        <w:kinsoku/>
        <w:wordWrap/>
        <w:topLinePunct w:val="0"/>
        <w:autoSpaceDE/>
        <w:autoSpaceDN/>
        <w:bidi w:val="0"/>
        <w:adjustRightInd/>
        <w:snapToGrid/>
        <w:textAlignment w:val="auto"/>
        <w:rPr>
          <w:rFonts w:hint="eastAsia"/>
          <w:color w:val="000000"/>
        </w:rPr>
      </w:pPr>
    </w:p>
    <w:p>
      <w:pPr>
        <w:keepNext w:val="0"/>
        <w:keepLines w:val="0"/>
        <w:pageBreakBefore w:val="0"/>
        <w:widowControl w:val="0"/>
        <w:kinsoku/>
        <w:wordWrap/>
        <w:topLinePunct w:val="0"/>
        <w:autoSpaceDE/>
        <w:autoSpaceDN/>
        <w:bidi w:val="0"/>
        <w:adjustRightInd/>
        <w:snapToGrid/>
        <w:textAlignment w:val="auto"/>
        <w:rPr>
          <w:rFonts w:hint="eastAsia"/>
          <w:color w:val="000000"/>
        </w:rPr>
        <w:sectPr>
          <w:footerReference r:id="rId6" w:type="default"/>
          <w:pgSz w:w="11906" w:h="16838"/>
          <w:pgMar w:top="2098" w:right="1474" w:bottom="1417" w:left="1587" w:header="851" w:footer="1134" w:gutter="0"/>
          <w:pgNumType w:fmt="decimal" w:start="1"/>
          <w:cols w:space="720" w:num="1"/>
          <w:docGrid w:type="lines" w:linePitch="435" w:charSpace="0"/>
        </w:sectPr>
      </w:pPr>
    </w:p>
    <w:bookmarkEnd w:id="68"/>
    <w:bookmarkEnd w:id="69"/>
    <w:bookmarkEnd w:id="70"/>
    <w:bookmarkEnd w:id="71"/>
    <w:bookmarkEnd w:id="72"/>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hint="eastAsia" w:ascii="Times New Roman" w:hAnsi="Times New Roman" w:eastAsia="方正小标宋简体"/>
          <w:color w:val="000000"/>
          <w:kern w:val="0"/>
          <w:sz w:val="32"/>
          <w:szCs w:val="32"/>
        </w:rPr>
      </w:pPr>
      <w:bookmarkStart w:id="73" w:name="_Toc83570451"/>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olor w:val="000000"/>
          <w:kern w:val="0"/>
          <w:sz w:val="32"/>
          <w:szCs w:val="32"/>
        </w:rPr>
      </w:pPr>
      <w:r>
        <w:rPr>
          <w:rFonts w:hint="eastAsia" w:ascii="Times New Roman" w:hAnsi="Times New Roman" w:eastAsia="方正小标宋简体"/>
          <w:color w:val="000000"/>
          <w:kern w:val="0"/>
          <w:sz w:val="32"/>
          <w:szCs w:val="32"/>
        </w:rPr>
        <w:t>新能源与智能网联汽车专项</w:t>
      </w:r>
      <w:bookmarkEnd w:id="73"/>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hint="eastAsia" w:ascii="Times New Roman" w:hAnsi="Times New Roman" w:eastAsia="方正小标宋简体"/>
          <w:color w:val="000000"/>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74" w:name="_Toc48231255"/>
      <w:bookmarkStart w:id="75" w:name="_Toc13771"/>
      <w:bookmarkStart w:id="76" w:name="_Toc83570452"/>
      <w:r>
        <w:rPr>
          <w:rFonts w:ascii="Times New Roman" w:hAnsi="Times New Roman" w:eastAsia="黑体"/>
          <w:kern w:val="0"/>
          <w:sz w:val="32"/>
          <w:szCs w:val="32"/>
        </w:rPr>
        <w:t>专题一</w:t>
      </w:r>
      <w:bookmarkEnd w:id="74"/>
      <w:bookmarkEnd w:id="75"/>
      <w:r>
        <w:rPr>
          <w:rFonts w:ascii="Times New Roman" w:hAnsi="Times New Roman" w:eastAsia="黑体"/>
          <w:kern w:val="0"/>
          <w:sz w:val="32"/>
          <w:szCs w:val="32"/>
        </w:rPr>
        <w:t>：新能源汽车</w:t>
      </w:r>
      <w:bookmarkEnd w:id="7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kern w:val="0"/>
          <w:sz w:val="32"/>
          <w:szCs w:val="32"/>
        </w:rPr>
      </w:pPr>
      <w:bookmarkStart w:id="77" w:name="_Toc83570453"/>
      <w:r>
        <w:rPr>
          <w:rFonts w:ascii="Times New Roman" w:hAnsi="Times New Roman" w:eastAsia="仿宋_GB2312"/>
          <w:b/>
          <w:kern w:val="0"/>
          <w:sz w:val="32"/>
          <w:szCs w:val="32"/>
        </w:rPr>
        <w:t>方向1：氢燃料电池商用车产业协同创新</w:t>
      </w:r>
      <w:bookmarkEnd w:id="77"/>
    </w:p>
    <w:p>
      <w:pPr>
        <w:keepNext w:val="0"/>
        <w:keepLines w:val="0"/>
        <w:pageBreakBefore w:val="0"/>
        <w:widowControl w:val="0"/>
        <w:kinsoku/>
        <w:wordWrap/>
        <w:overflowPunct w:val="0"/>
        <w:topLinePunct w:val="0"/>
        <w:autoSpaceDE/>
        <w:autoSpaceDN/>
        <w:bidi w:val="0"/>
        <w:adjustRightInd/>
        <w:snapToGrid/>
        <w:spacing w:line="560" w:lineRule="exact"/>
        <w:ind w:left="0" w:leftChars="0" w:firstLine="732" w:firstLineChars="228"/>
        <w:textAlignment w:val="auto"/>
        <w:outlineLvl w:val="2"/>
        <w:rPr>
          <w:rFonts w:ascii="Times New Roman" w:hAnsi="Times New Roman" w:eastAsia="仿宋"/>
          <w:b/>
          <w:color w:val="000000"/>
          <w:kern w:val="0"/>
          <w:sz w:val="32"/>
          <w:szCs w:val="32"/>
        </w:rPr>
      </w:pPr>
      <w:r>
        <w:rPr>
          <w:rFonts w:ascii="Times New Roman" w:hAnsi="Times New Roman" w:eastAsia="仿宋_GB2312"/>
          <w:b/>
          <w:kern w:val="0"/>
          <w:sz w:val="32"/>
          <w:szCs w:val="32"/>
        </w:rPr>
        <w:t>子方向1：面向客车和卡车的大功率燃料电池动力系统协同开发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kern w:val="0"/>
          <w:sz w:val="32"/>
          <w:szCs w:val="32"/>
        </w:rPr>
      </w:pPr>
      <w:r>
        <w:rPr>
          <w:rFonts w:ascii="Times New Roman" w:hAnsi="Times New Roman" w:eastAsia="仿宋_GB2312"/>
          <w:kern w:val="0"/>
          <w:sz w:val="32"/>
          <w:szCs w:val="32"/>
        </w:rPr>
        <w:t>1. 研究内容：（1）突破客车、卡车应用场景下燃料电池动力系统可靠性及环境适应性技术瓶颈，开发低成本、长寿命、高效率、高集成度和环境适应性强的大功率燃料电池动力系统；（2）研究燃料电池动力系统集成方法与总体性能优化技术；（3）开发燃料电池控制系统并进行标定技术研究；（4）建立小批生产能力，制定批量化生产工艺；（5）研究燃料电池动力系统测试与评价技术；（6）研究燃料电池动力系统的整车匹配技术，开展燃料电池动力系统及其应用车辆的安全性、可靠性研究；（7）开展燃料电池客车和卡车配套示范运行。</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考核指标：（1）开发燃料电池动力系统1款以上，燃料电池动力系统额定功率≥80kW，峰值功率＞90kW，怠速功率≤10kW；（2）低温冷启动温度≤−30</w:t>
      </w:r>
      <w:r>
        <w:rPr>
          <w:rFonts w:hint="eastAsia" w:ascii="宋体" w:hAnsi="宋体" w:cs="宋体"/>
          <w:sz w:val="32"/>
          <w:szCs w:val="32"/>
        </w:rPr>
        <w:t>℃</w:t>
      </w:r>
      <w:r>
        <w:rPr>
          <w:rFonts w:ascii="Times New Roman" w:hAnsi="Times New Roman" w:eastAsia="仿宋_GB2312"/>
          <w:sz w:val="32"/>
          <w:szCs w:val="32"/>
        </w:rPr>
        <w:t>，低温启动时间≤120秒；（3）燃料电池动力系统质量比功率≥430W/kg；（4）建立燃料电池动力系统批量生产能力；（5）开发燃料电池客车、卡车共2款以上，实现产业化示范运营应用；（6）申请并获得授权发明专利5件以上；（7）项目完成后，产能达到300台/年，实现销售收入不少于1.1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子方向2：大功率氢燃料电池卡车协同开发及示范运营</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整车三电系统集成及标定优化技术，开发符合运营标准的氢燃料电池卡车；（2）研究面向寿命优化的电堆系统协调动态控制技术；（3）开发高效能燃料电池商用车能量管理系统；（4）研发车载氢系统可靠性、安全性策略与标准；（5）开发整车经济性、轻量化及NVH技术；（6）开展制氢-加氢-用氢产业链协同运营，开展燃料电池卡车整车配套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燃料电池商用车2款以上，完成2座500KG液驱泵加氢站及配套设施建设，完成氢气本地化供应，实现区内产业化示范运营应用；（2）电堆体积功率密度＞2.5kW/L，系统额定功率密度不低于300W/kg，寿命＞16500h，冷启动温度≤−30</w:t>
      </w:r>
      <w:r>
        <w:rPr>
          <w:rFonts w:hint="eastAsia" w:ascii="宋体" w:hAnsi="宋体" w:cs="宋体"/>
          <w:sz w:val="32"/>
          <w:szCs w:val="32"/>
        </w:rPr>
        <w:t>℃</w:t>
      </w:r>
      <w:r>
        <w:rPr>
          <w:rFonts w:ascii="Times New Roman" w:hAnsi="Times New Roman" w:eastAsia="仿宋_GB2312"/>
          <w:sz w:val="32"/>
          <w:szCs w:val="32"/>
        </w:rPr>
        <w:t>；（3）燃料电池系统的额定功率≥80kW，且与驱动电机的额定功率比值≥50%；（4）续航里程≥450km，寿命≥40万km，成本≤100万元/辆；（5）车NVH及平顺性达到行业领先水平，司机座椅加速度均方根值实测＜0.8m/s</w:t>
      </w:r>
      <w:r>
        <w:rPr>
          <w:rFonts w:ascii="Times New Roman" w:hAnsi="Times New Roman" w:eastAsia="仿宋_GB2312"/>
          <w:sz w:val="32"/>
          <w:szCs w:val="32"/>
          <w:vertAlign w:val="superscript"/>
        </w:rPr>
        <w:t>2</w:t>
      </w:r>
      <w:r>
        <w:rPr>
          <w:rFonts w:ascii="Times New Roman" w:hAnsi="Times New Roman" w:eastAsia="仿宋_GB2312"/>
          <w:sz w:val="32"/>
          <w:szCs w:val="32"/>
        </w:rPr>
        <w:t>，60km/h匀速行驶车内噪声＜65dB(A)；（6）完成氢能源实验室建设；（7）申请并获得授权发明专利5件以上，制定企业标准5项；（8）生产能力达到1000台/年，量产后实现销售收入不少于1亿元。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78" w:name="_Toc83570454"/>
      <w:r>
        <w:rPr>
          <w:rFonts w:ascii="Times New Roman" w:hAnsi="Times New Roman" w:eastAsia="仿宋_GB2312"/>
          <w:b/>
          <w:sz w:val="32"/>
          <w:szCs w:val="32"/>
        </w:rPr>
        <w:t>方向2：混合动力新能源车动力系统研发及应用</w:t>
      </w:r>
      <w:bookmarkEnd w:id="78"/>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b/>
          <w:bCs/>
          <w:kern w:val="0"/>
          <w:sz w:val="32"/>
          <w:szCs w:val="32"/>
        </w:rPr>
      </w:pPr>
      <w:r>
        <w:rPr>
          <w:rFonts w:ascii="Times New Roman" w:hAnsi="Times New Roman" w:eastAsia="仿宋_GB2312"/>
          <w:b/>
          <w:sz w:val="32"/>
          <w:szCs w:val="32"/>
        </w:rPr>
        <w:t>子方向1：商用车超节能混合动力系统协同开发及关键技术研究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面向中重载专用车，开发超级节能型高集成度混合动力系统，设计高集成度超节能混合动力方案，将高速电机、变速箱进行高度集成一体化设计，开发高转速高功率密度驱动电机；（2）开发大功率集成化电动强制润滑系统；（3）研究机电耦合协同控制及整车标定技术，开发“多合一”控制器；（4）开发下线检测测控系统；（5）研究混合动力整车经济性、可靠性测试和评价技术；（6）建立混合动力系统生产线并开发批产生产工艺；（7）研究混合动力整车集成技术，并进行实车性能验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高度集成化混合动力系统3套以上；（2）开发大功率集成式电动润滑系统5套以上，系统峰值功率≥1000W；（3）高速电机峰值转速＞12000rpm，最高效率＞96%，电驱系统最高效率＞95%；（4）开发集VCU、HCU和TCU功能于一体的整车控制软件一套；（5）制定混合动力系统控制策略技术规范3项以上；（6）建立混合动力系统的试验标准、试验规范、测试方法等5项以上；（7）申请并获得授权发明专利5件以上；（8）项目完成后产能达到2000台/年，实现销售收入不少于1.5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79" w:name="_Toc83570455"/>
      <w:r>
        <w:rPr>
          <w:rFonts w:ascii="Times New Roman" w:hAnsi="Times New Roman" w:eastAsia="仿宋_GB2312"/>
          <w:b/>
          <w:sz w:val="32"/>
          <w:szCs w:val="32"/>
        </w:rPr>
        <w:t>方向3：新一代纯电动商用车平台化底盘研发</w:t>
      </w:r>
      <w:bookmarkEnd w:id="79"/>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子方向1：新一代纯电动商用车平台化底盘研发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纯电动商用车多场景使用需求特征，研究适用于纯电动商用车平台化底盘正向开发设计，搭建动力学仿真模型，搭建联合仿真平台，进行典型工况仿真测试，分析系统干涉特性，研究容错机理；（2）开展应用细高齿技术的渐开线圆柱斜齿轮传动研究，设计小型化高功能密度的驱动电机控制器，开发结构紧凑、体积小、传动效率高的轻量化低噪音同轴式电驱动桥；（3）根据多场景多种循环工况的需求功率分布情况，研究系统能量管理特征，研究动力传动系统参数匹配特性，开展平台化底盘系统能量管理及协同控制策略设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纯电动商用车平台化底盘能够应用于5款以上车型开发，匹配客厢和货车两种车身；（2）基于纯电动商用车平台化底盘的整车性能达到：最高车速不低于90km/h，WLTC工况法续航里程≥250km；（3）控制器产品设计安全等级达到或超过ASIL-C等级，最高效率≥98.5%；电机额定功率≥40kW，峰值功率≥80kW；（4）后桥齿轮阶次噪音63分贝以下，电机与后桥最高效率92%以上，后桥重量减重6%；（5）申请并获得授权发明专利3件以上；（6）项目实施期内，实现销售收入10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80" w:name="_Toc83570456"/>
      <w:r>
        <w:rPr>
          <w:rFonts w:ascii="Times New Roman" w:hAnsi="Times New Roman" w:eastAsia="仿宋_GB2312"/>
          <w:b/>
          <w:sz w:val="32"/>
          <w:szCs w:val="32"/>
        </w:rPr>
        <w:t>方向4：新能源汽车关键零部件研发</w:t>
      </w:r>
      <w:bookmarkEnd w:id="80"/>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子方向1：智能线控制动系统自主研发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开发具有自主知识产权的智能线控制动系统；（2）建立汽车动力学模型、电动助力制动机构和液压制动系统模型；（3）设计带备用制动的解耦式结构及减速增扭机构；（4）研究无刷电机驱动技术及电动助力制动控制软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完成自主智能线控制动系统开发，实现快速精准建压，稳态误差小于0.1Mpa，建压能力高至15Mpa、响应速度小于200ms，制动耐久不低于100万次；（2）具备失效备份0.25g@500N踏板力；（3）支持ESC、再生制动、主动制动等多样化的功能扩展；（4）满足不同驾驶员对制动踏板感觉可调的需要；（5）完成400W级无刷电机驱动系统软硬件开发；（6）完成自主线控制动系统的台架性能测试和实车验证；（7）申请并获得授权发明专利3</w:t>
      </w:r>
      <w:r>
        <w:rPr>
          <w:rFonts w:hint="eastAsia" w:ascii="Times New Roman" w:hAnsi="Times New Roman" w:eastAsia="仿宋_GB2312"/>
          <w:sz w:val="32"/>
          <w:szCs w:val="32"/>
        </w:rPr>
        <w:t>件</w:t>
      </w:r>
      <w:r>
        <w:rPr>
          <w:rFonts w:ascii="Times New Roman" w:hAnsi="Times New Roman" w:eastAsia="仿宋_GB2312"/>
          <w:sz w:val="32"/>
          <w:szCs w:val="32"/>
        </w:rPr>
        <w:t>以上，制定企业标准2项；（8）项目实施期内，预计实现销售收入1亿元。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子方向2：基于智能车轮的分布式驱动智能汽车主动安全协同控制系统</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轮胎六分力耦合特性，建立基于轮胎力的实时车辆及路面参数估计模型，研制轮胎信息感知与车轮力感知融合的智能车轮系统；（2）研制集成智能车轮与分布式驱动的高性能主动安全协同控制系统实车平台；（3）开发极限工况下自动驾驶控制系统，探究极限工况下车辆侧-纵-垂向耦合关系，针对低附、高附等不同附着路面，开发极限工况侧-纵-垂向一体化自动驾驶控制策略，优化极限工况下汽车运动协同控制系统；（4）研究极限工况下智能汽车主动安全控制系统性能评价方法，开发智能汽车主动安全控制系统综合性能主客观评价体系。</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w:t>
      </w:r>
      <w:r>
        <w:rPr>
          <w:rFonts w:hint="eastAsia" w:ascii="Times New Roman" w:hAnsi="Times New Roman" w:eastAsia="仿宋_GB2312"/>
          <w:sz w:val="32"/>
          <w:szCs w:val="32"/>
          <w:lang w:eastAsia="zh-CN"/>
        </w:rPr>
        <w:t>：</w:t>
      </w:r>
      <w:r>
        <w:rPr>
          <w:rFonts w:ascii="Times New Roman" w:hAnsi="Times New Roman" w:eastAsia="仿宋_GB2312"/>
          <w:sz w:val="32"/>
          <w:szCs w:val="32"/>
        </w:rPr>
        <w:t>（1）智能车轮系统的轮胎温度与胎压测量误差≤5%，轮胎磨损量估算误差≤10%，轮胎垂直力、纵向力、侧向力测量误差≤10%满量程，测量频率＞0.15kHz，路面摩擦系数估算误差≤15%；（2）完成一套基于智能车轮的分布式电驱智能车辆主动安全控制系统的实车平台集成，可演示极限工况下主动安全控制效果；（3）完成一套域控制器与主动安全协同控制算法开发，实现极限工况下制动/驱动/转向的协同，实现极限工况下循迹跟随能力相对于现有自动驾驶车辆提升5%，并通过第三方测试认证；（4）建立一套极限工况下智能汽车主动安全控制性能评价体系，主客观评价的一致性达到85%；（5）申请并获得授权发明专利3件以上，制定企业标准3项；（6）该技术所嵌入的汽车关键零部件VCU年产值达6千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仿宋_GB2312"/>
          <w:b/>
          <w:kern w:val="0"/>
          <w:sz w:val="32"/>
          <w:szCs w:val="32"/>
        </w:rPr>
      </w:pPr>
      <w:bookmarkStart w:id="81" w:name="_Toc83570457"/>
      <w:r>
        <w:rPr>
          <w:rFonts w:ascii="Times New Roman" w:hAnsi="Times New Roman" w:eastAsia="黑体"/>
          <w:kern w:val="0"/>
          <w:sz w:val="32"/>
          <w:szCs w:val="32"/>
        </w:rPr>
        <w:t>专题二：智能网联汽车</w:t>
      </w:r>
      <w:bookmarkEnd w:id="81"/>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82" w:name="_Toc83570458"/>
      <w:r>
        <w:rPr>
          <w:rFonts w:ascii="Times New Roman" w:hAnsi="Times New Roman" w:eastAsia="仿宋_GB2312"/>
          <w:b/>
          <w:sz w:val="32"/>
          <w:szCs w:val="32"/>
        </w:rPr>
        <w:t>方向5：智能网联汽车关键技术研究</w:t>
      </w:r>
      <w:bookmarkEnd w:id="82"/>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子方向1：基于新一代电子电气架构和智能生态座舱的整车平台关键技术研究与应用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发支持平台化开发、多车型共用的智能汽车柔性电子电气架构和高速率低延迟的车载以太网；（2）研究支持整车控制器软件迭代的远程OTA技术（空中下载升级），开发支持自动化测试的硬件在环平台；（3）研究支持景点路书及语音实时对讲、ETC高速无感通过与支付、个性虚拟角色形象互联互动、连续多轮语音交互、个性系统语音包的智能车联网技术；（4）研发生态座舱工艺参数全流程管理系统；（5）稳定批量生产搭载新一代电子电气架构和智能生态座舱的整车。</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的电子电气架构支持高带宽的车载以太网技术应用，整车总线通讯速率不低于100Mbps；（2）开发远程OTA（空中下载升级），其支持在线升级的智能控制器不少于8个；（3）搭载研发智能车辆网技术车型参照车云研究院“CC-1000T智能座舱评测体系”评测，报告分数不低于700分；（4）申请并获得授权发明专利3件以上，发布企业标准10份；（5）项目技术应用车型累计总销量达到5万辆以上，总产值达20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子方向2：基于复杂场景的弱感知强学习型自动驾驶系统关键技术研究与产业化应用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多源异构信息融合的环境感知算法，建立多类传感器数据兼容的环境感知系统，实现智能驾驶汽车快速精确的环境势态认知；（2）建立代表性的、高覆盖率的中国典型驾驶场景库，研究基于场景模型重构与数据驱动的自学习决策算法，建立稳健高效的强学习型自动驾驶系统，实现面向快时变环境自适应的智能驾驶行为决策；（3）研究ECU可扩展的开放式电子电气架构与软件平台，建立中央-层-区架构的高性能车载计算系统；（4）研究智能驾驶系统的软硬件在环测试方法，建立基于数字孪生的智能驾驶感知、决策及控制性能的测试评价体系，实现智能汽车的全工况、全系统、全性能的测试评价。</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搭建多元异构传感信息融合的智能驾驶环境感知系统，实现强光、多障碍物下的环境感知正确率达到90%；（2）搭建1套典型驾驶场景库采集与重构系统，实现虚拟场景库≥5000个，测试用例≥10000条；（3）建立基于驾驶场景模型与数据的自学习智能驾驶决策系统，相对目前控制系统的决策效率提升5%~10%，并通过第三方测试验证；（4）建立ECU单元可扩展的高性能车载计算平台，开发一套平台化的自动驾驶电子电气架构系统，应用超过2种车型；（5）建立基于数字孪生的智能驾驶性能仿真与评估体系，与实际测试一致性达80%以上；（6）申请并获得授权发明专利3件以上、制定企业标准10项以上；（7）项目实施期间，项目关键技术所应用车型实现智能网联汽车销售2万台，产值12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83" w:name="_Toc83570459"/>
      <w:r>
        <w:rPr>
          <w:rFonts w:ascii="Times New Roman" w:hAnsi="Times New Roman" w:eastAsia="仿宋_GB2312"/>
          <w:b/>
          <w:sz w:val="32"/>
          <w:szCs w:val="32"/>
        </w:rPr>
        <w:t>方向6：智能网联汽车整车开发</w:t>
      </w:r>
      <w:bookmarkEnd w:id="83"/>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子方向1：商用车智能驾驶关键技术研发与整车开发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商业智能BI、大数据实时流计算和远程OTA等关键技术，开发智能云控平台；（2）开发基于5G的智能商用车车路协同车载通信交互系统；（3）研究多源异构传感器联合标定技术，构建车端智能感知系统；（4）研究智能车自适应巡航节能优化控制关键技术；（5）研究智能商用车协同交互决策和最优路径规划技术；（6）研究高实时性驾驶行为决策关键技术；（7）研究先进的底盘一体化控制、模块化设计和整车优化匹配与调试等关键技术，实现智能驾驶整车集成开发；（8）开展特定场景无人化驾驶应用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技术指标：（1）完成不少于3类场景的L4级别自动驾驶样车开发与示范应用；（2）完成智能云控平台开发，页面刷新响应时间小于2秒，远程OTA升级成功率大于99%；（3）完成5G车载OBU和远程控车系统开发及应用；（4）完成不少于4种传感器融合与应用，实现车辆周边0.1米~150米范围的无盲区环境感知，激光雷达垂直视角≥30度，水平角分辨率≤0.05度，垂直角度分辨率≤1度，测距精度≤2厘米，单一目标的检测准确率≥97%，多目标分类准确率≥95%，对目标跟踪的动态响应速度低于200ms；（5）完成组合导航高精度定位系统开发应用，地图定位精度5cm，控制周期10ms，初次路径规划周期小于1s；（6）完成V2X系统开发应用，平均往返时延&lt;50ms，下行带宽&gt;100Mbps；（7）完成疲劳驾驶、车道保持、AEBS自动刹车、交通拥堵辅助等系统开发；（8）申请并获得授权发明专利5件以上，形成企业标准、技术规范10项以上；（9）培养相关工程技术人才10名，研究生15名以上；（10）相关技术应用于商用车的整车集成开发、推广和应用，实现销售2万台以上，新增产值40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子方向2：特定区域智能网联汽车开发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基于限定区域和特定场景下的智能驾驶车辆5G+V2X+云控网联化协同控制技术，建设适用于限定区域智能驾驶车辆的监控云平台，实现车辆远程监控、一控多车远程交互、远程升级等功能；（2）开发微循环小公交、区域物流、快递和零售车等面向限定区域和特定场景的L4级智能网联汽车。</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PB级数据处理和分析的车辆云控平台，全天候360°覆盖车辆远程视频监控、车辆远程监测信息不少于100项、远程控车功能不少于12项、5G远程驾控中心支持多台车辆接管控制；（2）车载网联通信设备装车率100%，实现7×24小时接入车辆在线监测，监控车辆在线并发接入能力≥10万辆，运营监测车辆总数&gt;30万；（3）通过感知融合及先进的定位、规划、决策及控制算法，实现自主路径规划、主动避障、绕障、室内外去安全员化连贯运行，特定区域智能驾驶车辆速度不低于30km/h，测试里程≥10000公里；（4）自动驾驶系统能够通过CAN总线实现控制指令的接收与发送，控制转向系统，制动系统（具有安全冗余），动力输出系统等；（5）制动响应时间≤80ms，10MPa建压时间≤250ms，转向响应时间≤50ms，转向精度≤1°；（6）线控底盘模块化设计，可通过遥控进行独立控制；（7）申请并获得授权发明专利4</w:t>
      </w:r>
      <w:r>
        <w:rPr>
          <w:rFonts w:hint="eastAsia" w:ascii="Times New Roman" w:hAnsi="Times New Roman" w:eastAsia="仿宋_GB2312"/>
          <w:sz w:val="32"/>
          <w:szCs w:val="32"/>
        </w:rPr>
        <w:t>件</w:t>
      </w:r>
      <w:r>
        <w:rPr>
          <w:rFonts w:ascii="Times New Roman" w:hAnsi="Times New Roman" w:eastAsia="仿宋_GB2312"/>
          <w:sz w:val="32"/>
          <w:szCs w:val="32"/>
        </w:rPr>
        <w:t>以上，制定地方标准1项；（8）项目实施期内，建成一条智能网联汽车生产线，实现2000台/年的产能规模。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84" w:name="_Toc83570460"/>
      <w:r>
        <w:rPr>
          <w:rFonts w:ascii="Times New Roman" w:hAnsi="Times New Roman" w:eastAsia="黑体"/>
          <w:kern w:val="0"/>
          <w:sz w:val="32"/>
          <w:szCs w:val="32"/>
        </w:rPr>
        <w:t>专题三：节能汽车</w:t>
      </w:r>
      <w:bookmarkEnd w:id="84"/>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85" w:name="_Toc83570461"/>
      <w:r>
        <w:rPr>
          <w:rFonts w:ascii="Times New Roman" w:hAnsi="Times New Roman" w:eastAsia="仿宋_GB2312"/>
          <w:b/>
          <w:sz w:val="32"/>
          <w:szCs w:val="32"/>
        </w:rPr>
        <w:t>方向7：高效节能环保汽车开发及产业化</w:t>
      </w:r>
      <w:bookmarkEnd w:id="8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子方向1：高效能中重型商用车平台开发与成果应用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开发新一代高效能中重型商用车平台；（2）研究基于多应用场景的整车动力系统适应性标定及优化匹配技术；（3）开发基于模型预测控制的燃油及混动汽车的能量管理策略；（4）开发动力总成节能关键技术，研究发动机参数标定优化技术；开发高效能变速箱、驱动桥；（5）开发低风阻、高NVH性能、高安全驾驶室；开发整车轻量化、NVH技术及结构；（6）集成辅助驾驶技术、驾驶管理技术，提升整车能效与智能化水平。</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完成开发适合于城市、城际和省际的货物配送物流用车和经济、实用的工程用车、专用作业车等15款以上；（2）基本车型底盘质量不大于4900kg，基本车型C-WTVC综合油耗不大于21.8L/100km，司机座椅加速度均方根值≤0.6m/s</w:t>
      </w:r>
      <w:r>
        <w:rPr>
          <w:rFonts w:ascii="Times New Roman" w:hAnsi="Times New Roman" w:eastAsia="仿宋_GB2312"/>
          <w:sz w:val="32"/>
          <w:szCs w:val="32"/>
          <w:vertAlign w:val="superscript"/>
        </w:rPr>
        <w:t>2</w:t>
      </w:r>
      <w:r>
        <w:rPr>
          <w:rFonts w:ascii="Times New Roman" w:hAnsi="Times New Roman" w:eastAsia="仿宋_GB2312"/>
          <w:sz w:val="32"/>
          <w:szCs w:val="32"/>
        </w:rPr>
        <w:t>，80km/h匀速行驶车内噪声值69dB(A)；（3）申请并获得授权发明专利10件以上；（4）培养博士后1人、研究生5人以上；（5）项目实施期内，累计销售4万辆，销售收入80亿元，利税6.5亿元以上。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86" w:name="_Toc83570462"/>
      <w:r>
        <w:rPr>
          <w:rFonts w:ascii="Times New Roman" w:hAnsi="Times New Roman" w:eastAsia="仿宋_GB2312"/>
          <w:b/>
          <w:sz w:val="32"/>
          <w:szCs w:val="32"/>
        </w:rPr>
        <w:t>方向8：汽车轻量化关键技术研究</w:t>
      </w:r>
      <w:bookmarkEnd w:id="86"/>
    </w:p>
    <w:p>
      <w:pPr>
        <w:keepNext w:val="0"/>
        <w:keepLines w:val="0"/>
        <w:pageBreakBefore w:val="0"/>
        <w:widowControl w:val="0"/>
        <w:kinsoku/>
        <w:wordWrap/>
        <w:overflowPunct w:val="0"/>
        <w:topLinePunct w:val="0"/>
        <w:autoSpaceDE/>
        <w:autoSpaceDN/>
        <w:bidi w:val="0"/>
        <w:adjustRightInd/>
        <w:snapToGrid/>
        <w:spacing w:line="54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子方向1：重型专用汽车轻量化关键技术研究及产业化应用</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高度集成材料、设计、制造工艺及仿真分析等跨学科复合轻量化技术，开发基于高强钢、高强耐磨钢、铝合金应用的国六工程系列轻量化重型专用汽车；（2）研究多应用场景整车结构/材料/性能一体化轻量化多目标优化设计方法，开展整车结构优化设计、各系统间的匹配设计及验证技术研究；（3）搭建联合仿真平台，开展新材料对整车安全性、可靠性的影响研究；（4）研究新材料成形理论和先进制造技术，开展原创性和实用性的新材料成型、焊接等关键工艺仿真及其制造技术研究，完善专用汽车高强度钢应用体系；（5）研究柔性自动化制造技术及其产业化示范。</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国六工程系列轻量化重型专用汽车6款以上；（2）整车自重较普通碳钢结构降低15~25%，整车载质量利用系数较2020年提高5%以上；（3）建立专用汽车轻量化设计、工艺、检测、验证等规范及评价准则；（4）突破1200MPa以上高强耐磨钢焊接变形控制技术、多截面柔性折弯成型和辊压成型技术等关键核心技术1项以上，申请并获得授权发明专利3件以上，形成相关行业标准、企业标准或技术规范5项以上，培养高级工程师2名以上，硕士研究生3名以上；（5）建立具备示范效应的柔性自动化专用汽车生产线，关键工序自动化率80%以上，产能达到15000台/年，产值不低于8亿元。</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仿宋"/>
          <w:b/>
          <w:color w:val="000000"/>
          <w:kern w:val="0"/>
          <w:sz w:val="32"/>
          <w:szCs w:val="32"/>
        </w:rPr>
      </w:pPr>
      <w:r>
        <w:rPr>
          <w:rFonts w:ascii="Times New Roman" w:hAnsi="Times New Roman" w:eastAsia="仿宋"/>
          <w:b/>
          <w:color w:val="000000"/>
          <w:kern w:val="0"/>
          <w:sz w:val="32"/>
          <w:szCs w:val="32"/>
        </w:rPr>
        <w:br w:type="page"/>
      </w:r>
      <w:bookmarkStart w:id="87" w:name="_Toc83570463"/>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仿宋"/>
          <w:b/>
          <w:color w:val="000000"/>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方正小标宋简体"/>
          <w:color w:val="000000"/>
          <w:kern w:val="0"/>
          <w:sz w:val="44"/>
          <w:szCs w:val="44"/>
        </w:rPr>
      </w:pPr>
      <w:r>
        <w:rPr>
          <w:rFonts w:ascii="Times New Roman" w:hAnsi="Times New Roman" w:eastAsia="方正小标宋简体"/>
          <w:color w:val="000000"/>
          <w:kern w:val="0"/>
          <w:sz w:val="44"/>
          <w:szCs w:val="44"/>
        </w:rPr>
        <w:t>机械制造与高端装备专项</w:t>
      </w:r>
      <w:bookmarkEnd w:id="87"/>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方正小标宋简体"/>
          <w:color w:val="000000"/>
          <w:kern w:val="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88" w:name="_Toc83570464"/>
      <w:r>
        <w:rPr>
          <w:rFonts w:ascii="Times New Roman" w:hAnsi="Times New Roman" w:eastAsia="黑体"/>
          <w:kern w:val="0"/>
          <w:sz w:val="32"/>
          <w:szCs w:val="32"/>
        </w:rPr>
        <w:t>专题一：内燃机及关联零部件</w:t>
      </w:r>
      <w:bookmarkEnd w:id="88"/>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
          <w:color w:val="000000"/>
          <w:kern w:val="0"/>
          <w:sz w:val="32"/>
          <w:szCs w:val="32"/>
        </w:rPr>
      </w:pPr>
      <w:bookmarkStart w:id="89" w:name="_Toc83570465"/>
      <w:r>
        <w:rPr>
          <w:rFonts w:ascii="Times New Roman" w:hAnsi="Times New Roman" w:eastAsia="仿宋_GB2312"/>
          <w:b/>
          <w:sz w:val="32"/>
          <w:szCs w:val="32"/>
        </w:rPr>
        <w:t>方向1：超低油耗智能化商用车发动机开发与产业化</w:t>
      </w:r>
      <w:bookmarkEnd w:id="89"/>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子方向1：低碳智能超低油耗柴油机关键技术研究与产业化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高热效率发动机整体设计技术、清洁低碳燃烧技术、动传系统高传动效率技术、动传系统最优协同的智能网联技术、整车滚动阻力优化等关键技术；（2）研究满足商用车燃料消耗量第四阶段限值标准关键技术，开发出适用于不同动力总成系统构型的低碳智能发动机；（3）实现超低油耗智能商用车发动机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发动机热效率提升≥3%，实现10L排量以上柴油发动机热效率≥49%，5L~9L排量柴油发动机热效率≥47%，5L排量以下柴油柴油机≥46%，相对比GB30510-2018中国商用车燃料消耗量限值标准（第三阶段）整车油耗降低幅度≥5%；（2）申请并授权发明专利5件以上，参与制定国家/行业标准3项；（3）研发出6~8款适用于自动变速智能动力总成、增程器、功率分流混动等的超低油耗柴油机；（4）项目实施期内，实现年新增产值100亿元；（5）培养一支300人的研发团队。</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0" w:name="_Toc83570466"/>
      <w:r>
        <w:rPr>
          <w:rFonts w:ascii="Times New Roman" w:hAnsi="Times New Roman" w:eastAsia="仿宋_GB2312"/>
          <w:b/>
          <w:sz w:val="32"/>
          <w:szCs w:val="32"/>
        </w:rPr>
        <w:t>方向2：高效智能非道路发动机开发及产业化</w:t>
      </w:r>
      <w:bookmarkEnd w:id="90"/>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子方向1：高效智能非道路国四发动机及动力总成关键技术研究及产业化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非道路柴油机清洁低碳燃烧、高效后处理集成开发等关键技术研究；（2）研发具有自主知识产权的非道路智能控制器；（3）研发出高可靠性、低油耗、智能化的非道路国四发动机；（4）研发非道路集成发电式发动机动力总成；（5）实现高效智能非道路国四发动机及动力总成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考核指标：（1）突破并掌握新一代发动机热效率提升技术，实现非道路国四发动机热效率≥45%，尾气排放NO</w:t>
      </w:r>
      <w:r>
        <w:rPr>
          <w:rFonts w:ascii="Times New Roman" w:hAnsi="Times New Roman" w:eastAsia="仿宋_GB2312"/>
          <w:sz w:val="32"/>
          <w:szCs w:val="32"/>
          <w:vertAlign w:val="subscript"/>
        </w:rPr>
        <w:t>x</w:t>
      </w:r>
      <w:r>
        <w:rPr>
          <w:rFonts w:ascii="Times New Roman" w:hAnsi="Times New Roman" w:eastAsia="仿宋_GB2312"/>
          <w:sz w:val="32"/>
          <w:szCs w:val="32"/>
        </w:rPr>
        <w:t>转化效率≥96%；（2）开发出1款非道路集成发电式发动机动力总成，功率覆盖162~200kW，动力总成传动效率≥80%，电机效率≥95%；（3）研发出1款具有自主知识产权的非道路智能控制器；（4）申请并授权发明专利5件以上，参与制定国家/行业标准1项；（5）研发出3~5款高可靠、低油耗、智能化的非道路国四发动机，通过排放认证；（6）项目实施期内，产能达到12万台/年，年销售收入达25亿元；（7）引进及培养中高端人才不少于5人，搭建3个以上产品平台。</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子方向2：高速艇用发动机创新开发与产业化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气缸体、气缸盖、曲柄连杆机构、配气机构的可靠性，将船用柴油机的转速提高至3000r/min以上；（2）研究燃油高压喷射、气道进气涡流、多气门、燃烧室等燃烧技术，实现高速艇用柴油机高功率密度、低排放的目标；（3）研究活塞与冷却环密封技术，提高高速运行中的密封性和可靠性；（4）开发电控高压共轨燃油喷射系统，逐步实现国产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考核指标：（1）研发出6款适用于不同马力段动力需求的低油耗、智能化的高速艇用柴油机；（2）突破新一代清洁低碳燃烧技术，实现升功率≥40kW/L；（3）满足GB 15097-2016《船舶发动机排气污染物排放限值及测量方法（中国第一、二阶段）》国二阶段排放法规要求；（4）申请并获得授权发明专利5</w:t>
      </w:r>
      <w:r>
        <w:rPr>
          <w:rFonts w:hint="eastAsia" w:ascii="Times New Roman" w:hAnsi="Times New Roman" w:eastAsia="仿宋_GB2312"/>
          <w:sz w:val="32"/>
          <w:szCs w:val="32"/>
        </w:rPr>
        <w:t>件</w:t>
      </w:r>
      <w:r>
        <w:rPr>
          <w:rFonts w:ascii="Times New Roman" w:hAnsi="Times New Roman" w:eastAsia="仿宋_GB2312"/>
          <w:sz w:val="32"/>
          <w:szCs w:val="32"/>
        </w:rPr>
        <w:t>以上；（5）项目实施期内，实现新增产值20000万元，新增利税2000万元。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1" w:name="_Toc83570467"/>
      <w:r>
        <w:rPr>
          <w:rFonts w:ascii="Times New Roman" w:hAnsi="Times New Roman" w:eastAsia="仿宋_GB2312"/>
          <w:b/>
          <w:sz w:val="32"/>
          <w:szCs w:val="32"/>
        </w:rPr>
        <w:t>方向3：内燃机关联零部件关键技术研发</w:t>
      </w:r>
      <w:bookmarkEnd w:id="91"/>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子方向1：国六燃气发动机尾气处理的单原子催化剂及金属蜂窝载体开发与应用研发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研究内容：（1）研究优化Pt/FeO</w:t>
      </w:r>
      <w:r>
        <w:rPr>
          <w:rFonts w:ascii="Times New Roman" w:hAnsi="Times New Roman" w:eastAsia="仿宋_GB2312"/>
          <w:sz w:val="32"/>
          <w:szCs w:val="32"/>
          <w:vertAlign w:val="subscript"/>
        </w:rPr>
        <w:t>x</w:t>
      </w:r>
      <w:r>
        <w:rPr>
          <w:rFonts w:ascii="Times New Roman" w:hAnsi="Times New Roman" w:eastAsia="仿宋_GB2312"/>
          <w:sz w:val="32"/>
          <w:szCs w:val="32"/>
        </w:rPr>
        <w:t>和Ir/FeO</w:t>
      </w:r>
      <w:r>
        <w:rPr>
          <w:rFonts w:ascii="Times New Roman" w:hAnsi="Times New Roman" w:eastAsia="仿宋_GB2312"/>
          <w:sz w:val="32"/>
          <w:szCs w:val="32"/>
          <w:vertAlign w:val="subscript"/>
        </w:rPr>
        <w:t>x</w:t>
      </w:r>
      <w:r>
        <w:rPr>
          <w:rFonts w:ascii="Times New Roman" w:hAnsi="Times New Roman" w:eastAsia="仿宋_GB2312"/>
          <w:sz w:val="32"/>
          <w:szCs w:val="32"/>
        </w:rPr>
        <w:t>单原子催化剂，以实现非贵金属替代贵金属催化剂，在满足国六排放指标的前提下大幅降低贵金属使用量；（2）研究根据Pt/FeO</w:t>
      </w:r>
      <w:r>
        <w:rPr>
          <w:rFonts w:ascii="Times New Roman" w:hAnsi="Times New Roman" w:eastAsia="仿宋_GB2312"/>
          <w:sz w:val="32"/>
          <w:szCs w:val="32"/>
          <w:vertAlign w:val="subscript"/>
        </w:rPr>
        <w:t>x</w:t>
      </w:r>
      <w:r>
        <w:rPr>
          <w:rFonts w:ascii="Times New Roman" w:hAnsi="Times New Roman" w:eastAsia="仿宋_GB2312"/>
          <w:sz w:val="32"/>
          <w:szCs w:val="32"/>
        </w:rPr>
        <w:t>和Ir/FeO</w:t>
      </w:r>
      <w:r>
        <w:rPr>
          <w:rFonts w:ascii="Times New Roman" w:hAnsi="Times New Roman" w:eastAsia="仿宋_GB2312"/>
          <w:sz w:val="32"/>
          <w:szCs w:val="32"/>
          <w:vertAlign w:val="subscript"/>
        </w:rPr>
        <w:t>x</w:t>
      </w:r>
      <w:r>
        <w:rPr>
          <w:rFonts w:ascii="Times New Roman" w:hAnsi="Times New Roman" w:eastAsia="仿宋_GB2312"/>
          <w:sz w:val="32"/>
          <w:szCs w:val="32"/>
        </w:rPr>
        <w:t>单原子催化剂设计金属蜂窝载体，以高比表面积载体目数优势及物理性提高单原子催化剂的稳定性和负载量；（3）开发新型包覆工艺和分散工艺，优化催化剂浆料的涂覆、烧结和界面控制技术；（4）设计催化剂载体浆料的均匀涂覆、鼓风干燥、中温煅烧等全套设备解决方案；（5）遴选与本TWC配套的燃气氧化催化剂、燃气微粒滤清器、氨氧化催化剂；（6）开发TWC系统的集成控制技术等，搭建整套尾气净化装置测试平台。</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考核指标：（1）优化Pt/FeO</w:t>
      </w:r>
      <w:r>
        <w:rPr>
          <w:rFonts w:ascii="Times New Roman" w:hAnsi="Times New Roman" w:eastAsia="仿宋_GB2312"/>
          <w:sz w:val="32"/>
          <w:szCs w:val="32"/>
          <w:vertAlign w:val="subscript"/>
        </w:rPr>
        <w:t>x</w:t>
      </w:r>
      <w:r>
        <w:rPr>
          <w:rFonts w:ascii="Times New Roman" w:hAnsi="Times New Roman" w:eastAsia="仿宋_GB2312"/>
          <w:sz w:val="32"/>
          <w:szCs w:val="32"/>
        </w:rPr>
        <w:t>和Ir/FeO</w:t>
      </w:r>
      <w:r>
        <w:rPr>
          <w:rFonts w:ascii="Times New Roman" w:hAnsi="Times New Roman" w:eastAsia="仿宋_GB2312"/>
          <w:sz w:val="32"/>
          <w:szCs w:val="32"/>
          <w:vertAlign w:val="subscript"/>
        </w:rPr>
        <w:t xml:space="preserve">x </w:t>
      </w:r>
      <w:r>
        <w:rPr>
          <w:rFonts w:ascii="Times New Roman" w:hAnsi="Times New Roman" w:eastAsia="仿宋_GB2312"/>
          <w:sz w:val="32"/>
          <w:szCs w:val="32"/>
        </w:rPr>
        <w:t>2种单原子催化剂，实现非贵金属替代贵金属催化剂，使贵金属使用量由行业平均用量150g/ft</w:t>
      </w:r>
      <w:r>
        <w:rPr>
          <w:rFonts w:ascii="Times New Roman" w:hAnsi="Times New Roman" w:eastAsia="仿宋_GB2312"/>
          <w:sz w:val="32"/>
          <w:szCs w:val="32"/>
          <w:vertAlign w:val="superscript"/>
        </w:rPr>
        <w:t>3</w:t>
      </w:r>
      <w:r>
        <w:rPr>
          <w:rFonts w:ascii="Times New Roman" w:hAnsi="Times New Roman" w:eastAsia="仿宋_GB2312"/>
          <w:sz w:val="32"/>
          <w:szCs w:val="32"/>
        </w:rPr>
        <w:t>，下降至60g/ft</w:t>
      </w:r>
      <w:r>
        <w:rPr>
          <w:rFonts w:ascii="Times New Roman" w:hAnsi="Times New Roman" w:eastAsia="仿宋_GB2312"/>
          <w:sz w:val="32"/>
          <w:szCs w:val="32"/>
          <w:vertAlign w:val="superscript"/>
        </w:rPr>
        <w:t>3</w:t>
      </w:r>
      <w:r>
        <w:rPr>
          <w:rFonts w:ascii="Times New Roman" w:hAnsi="Times New Roman" w:eastAsia="仿宋_GB2312"/>
          <w:sz w:val="32"/>
          <w:szCs w:val="32"/>
        </w:rPr>
        <w:t>以下；（2）使CH</w:t>
      </w:r>
      <w:r>
        <w:rPr>
          <w:rFonts w:ascii="Times New Roman" w:hAnsi="Times New Roman" w:eastAsia="仿宋_GB2312"/>
          <w:sz w:val="32"/>
          <w:szCs w:val="32"/>
          <w:vertAlign w:val="subscript"/>
        </w:rPr>
        <w:t>4</w:t>
      </w:r>
      <w:r>
        <w:rPr>
          <w:rFonts w:ascii="Times New Roman" w:hAnsi="Times New Roman" w:eastAsia="仿宋_GB2312"/>
          <w:sz w:val="32"/>
          <w:szCs w:val="32"/>
        </w:rPr>
        <w:t>氧化物催化起燃温度250</w:t>
      </w:r>
      <w:r>
        <w:rPr>
          <w:rFonts w:hint="eastAsia" w:ascii="宋体" w:hAnsi="宋体" w:cs="宋体"/>
          <w:sz w:val="32"/>
          <w:szCs w:val="32"/>
        </w:rPr>
        <w:t>℃</w:t>
      </w:r>
      <w:r>
        <w:rPr>
          <w:rFonts w:ascii="Times New Roman" w:hAnsi="Times New Roman" w:eastAsia="仿宋_GB2312"/>
          <w:sz w:val="32"/>
          <w:szCs w:val="32"/>
        </w:rPr>
        <w:t>时转化率65%以上，在200~450</w:t>
      </w:r>
      <w:r>
        <w:rPr>
          <w:rFonts w:hint="eastAsia" w:ascii="宋体" w:hAnsi="宋体" w:cs="宋体"/>
          <w:sz w:val="32"/>
          <w:szCs w:val="32"/>
        </w:rPr>
        <w:t>℃</w:t>
      </w:r>
      <w:r>
        <w:rPr>
          <w:rFonts w:ascii="Times New Roman" w:hAnsi="Times New Roman" w:eastAsia="仿宋_GB2312"/>
          <w:sz w:val="32"/>
          <w:szCs w:val="32"/>
        </w:rPr>
        <w:t>范围内转化效率不低于90%，300</w:t>
      </w:r>
      <w:r>
        <w:rPr>
          <w:rFonts w:hint="eastAsia" w:ascii="宋体" w:hAnsi="宋体" w:cs="宋体"/>
          <w:sz w:val="32"/>
          <w:szCs w:val="32"/>
        </w:rPr>
        <w:t>℃</w:t>
      </w:r>
      <w:r>
        <w:rPr>
          <w:rFonts w:ascii="Times New Roman" w:hAnsi="Times New Roman" w:eastAsia="仿宋_GB2312"/>
          <w:sz w:val="32"/>
          <w:szCs w:val="32"/>
        </w:rPr>
        <w:t>以上NO</w:t>
      </w:r>
      <w:r>
        <w:rPr>
          <w:rFonts w:ascii="Times New Roman" w:hAnsi="Times New Roman" w:eastAsia="仿宋_GB2312"/>
          <w:sz w:val="32"/>
          <w:szCs w:val="32"/>
          <w:vertAlign w:val="subscript"/>
        </w:rPr>
        <w:t>x</w:t>
      </w:r>
      <w:r>
        <w:rPr>
          <w:rFonts w:ascii="Times New Roman" w:hAnsi="Times New Roman" w:eastAsia="仿宋_GB2312"/>
          <w:sz w:val="32"/>
          <w:szCs w:val="32"/>
        </w:rPr>
        <w:t>的转化率高于90%；（3）催化剂使用寿命：经550</w:t>
      </w:r>
      <w:r>
        <w:rPr>
          <w:rFonts w:hint="eastAsia" w:ascii="宋体" w:hAnsi="宋体" w:cs="宋体"/>
          <w:sz w:val="32"/>
          <w:szCs w:val="32"/>
        </w:rPr>
        <w:t>℃</w:t>
      </w:r>
      <w:r>
        <w:rPr>
          <w:rFonts w:ascii="Times New Roman" w:hAnsi="Times New Roman" w:eastAsia="仿宋_GB2312"/>
          <w:sz w:val="32"/>
          <w:szCs w:val="32"/>
        </w:rPr>
        <w:t>和100小时的TWC催化剂台架快速老化试验后，平均空速40000 h</w:t>
      </w:r>
      <w:r>
        <w:rPr>
          <w:rFonts w:ascii="Times New Roman" w:hAnsi="Times New Roman" w:eastAsia="仿宋_GB2312"/>
          <w:sz w:val="32"/>
          <w:szCs w:val="32"/>
          <w:vertAlign w:val="superscript"/>
        </w:rPr>
        <w:t>-1</w:t>
      </w:r>
      <w:r>
        <w:rPr>
          <w:rFonts w:ascii="Times New Roman" w:hAnsi="Times New Roman" w:eastAsia="仿宋_GB2312"/>
          <w:sz w:val="32"/>
          <w:szCs w:val="32"/>
        </w:rPr>
        <w:t>条件下，温度350</w:t>
      </w:r>
      <w:r>
        <w:rPr>
          <w:rFonts w:hint="eastAsia" w:ascii="宋体" w:hAnsi="宋体" w:cs="宋体"/>
          <w:sz w:val="32"/>
          <w:szCs w:val="32"/>
        </w:rPr>
        <w:t>℃</w:t>
      </w:r>
      <w:r>
        <w:rPr>
          <w:rFonts w:ascii="Times New Roman" w:hAnsi="Times New Roman" w:eastAsia="仿宋_GB2312"/>
          <w:sz w:val="32"/>
          <w:szCs w:val="32"/>
        </w:rPr>
        <w:t>度时转化效率&gt;90%，300~450</w:t>
      </w:r>
      <w:r>
        <w:rPr>
          <w:rFonts w:hint="eastAsia" w:ascii="宋体" w:hAnsi="宋体" w:cs="宋体"/>
          <w:sz w:val="32"/>
          <w:szCs w:val="32"/>
        </w:rPr>
        <w:t>℃</w:t>
      </w:r>
      <w:r>
        <w:rPr>
          <w:rFonts w:ascii="Times New Roman" w:hAnsi="Times New Roman" w:eastAsia="仿宋_GB2312"/>
          <w:sz w:val="32"/>
          <w:szCs w:val="32"/>
        </w:rPr>
        <w:t>效率&gt;95%，550</w:t>
      </w:r>
      <w:r>
        <w:rPr>
          <w:rFonts w:hint="eastAsia" w:ascii="宋体" w:hAnsi="宋体" w:cs="宋体"/>
          <w:sz w:val="32"/>
          <w:szCs w:val="32"/>
        </w:rPr>
        <w:t>℃</w:t>
      </w:r>
      <w:r>
        <w:rPr>
          <w:rFonts w:ascii="Times New Roman" w:hAnsi="Times New Roman" w:eastAsia="仿宋_GB2312"/>
          <w:sz w:val="32"/>
          <w:szCs w:val="32"/>
        </w:rPr>
        <w:t>效率&gt;90%，发动机工况试验排放值满足或者超过《车用压燃式、气体燃料点燃式发动机与汽车排气污染物排放限值及测量方法（中国第六阶段）》规定限值；（4）申请并授权发明专利5件；（5）开发单原子催化剂的批量制备技术，建立年产催化剂浆料中试生产线1条，建立浆料涂覆、煅烧等生产示范线1条，实现年产20000只TWC催化消声器总成的生产能力，建立国六燃气发动机实际工况的尾气净化装置测试平台一套；（6）项目实施期内，年新增销售收入1亿元，利税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子方向2：重型发动机高效智能热管理系统关键技术研究及产业化应用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开发热管理系统集成与智能控制技术，研究发动机能量流在线测试与分析评价方法，开发基于整车需求的整机热管理系统数值仿真分析软件平台，支持商用车发动机满足重型商用车第四阶段燃料消耗限值；（2）开展高效热管理关键零部件开发，研究和开发高效智能发动机热管理系统的高性能冷却模块；（3）研究重型发动机低功耗关键技术，突破关键冷却部件智能控制技术（如风扇智能控制技术、冷却智能控制技术等），开展附件耗功降低研究；（4）高效热管理技术集成与应用，集成硬件及控制策略并完成验证；（5）实现先进热管理系统的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实现平均整机热效率提升1%，热效率≥47%；（2）对比市场批产零部件，EGR冷却器换热效率由90%提升至91%，机冷模块重量由1.76kg减轻至1.67kg；（3）开发应用高效智能热管理系统关键技术发动机样机2款；（4）申请并授权发明专利5件以上；（5）开发完成发动机能量流分析软件1套，整机热管理系统数值仿真及匹配优化软件1套；（6）培养硕士及以上学历人才11名；（7）项目实施期内，高效能热管系统关键零部件年新增产值1亿元，应用高效智能热管理系统关键技术发动机年新增产值5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92" w:name="_Toc83570468"/>
      <w:r>
        <w:rPr>
          <w:rFonts w:ascii="Times New Roman" w:hAnsi="Times New Roman" w:eastAsia="黑体"/>
          <w:kern w:val="0"/>
          <w:sz w:val="32"/>
          <w:szCs w:val="32"/>
        </w:rPr>
        <w:t>专题二：工程机械及零部件</w:t>
      </w:r>
      <w:bookmarkEnd w:id="92"/>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3" w:name="_Toc83570469"/>
      <w:r>
        <w:rPr>
          <w:rFonts w:ascii="Times New Roman" w:hAnsi="Times New Roman" w:eastAsia="仿宋_GB2312"/>
          <w:b/>
          <w:sz w:val="32"/>
          <w:szCs w:val="32"/>
        </w:rPr>
        <w:t>方向4：新能源工程机械技术研究及产品研发</w:t>
      </w:r>
      <w:bookmarkEnd w:id="93"/>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子方向1：新能源工程机械技术研究及产品研发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新能源工程机械大电量高压储能系统集成技术；（2）研究均流系统多电机设备之间电流分配方法；（3）研究制动能量回收技术；（4）研究高压电气架构及高压安全管理技术；（5）研究电机与液压、传动系统匹配控制技术；（6）研究回转能量回收技术；（7）研究电驱动力传动系统开展平台化共性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考核指标：（1）整机使用海拔高度要求满足≥3000米；（2）整机环境适应温度范围</w:t>
      </w:r>
      <w:r>
        <w:rPr>
          <w:rFonts w:ascii="Times New Roman" w:hAnsi="Times New Roman" w:eastAsia="仿宋"/>
          <w:sz w:val="32"/>
          <w:szCs w:val="32"/>
        </w:rPr>
        <w:t>−</w:t>
      </w:r>
      <w:r>
        <w:rPr>
          <w:rFonts w:ascii="Times New Roman" w:hAnsi="Times New Roman" w:eastAsia="仿宋_GB2312"/>
          <w:sz w:val="32"/>
          <w:szCs w:val="32"/>
        </w:rPr>
        <w:t>30</w:t>
      </w:r>
      <w:r>
        <w:rPr>
          <w:rFonts w:hint="eastAsia" w:ascii="宋体" w:hAnsi="宋体" w:cs="宋体"/>
          <w:sz w:val="32"/>
          <w:szCs w:val="32"/>
        </w:rPr>
        <w:t>℃</w:t>
      </w:r>
      <w:r>
        <w:rPr>
          <w:rFonts w:ascii="Times New Roman" w:hAnsi="Times New Roman" w:eastAsia="仿宋_GB2312"/>
          <w:sz w:val="32"/>
          <w:szCs w:val="32"/>
        </w:rPr>
        <w:t>~45</w:t>
      </w:r>
      <w:r>
        <w:rPr>
          <w:rFonts w:hint="eastAsia" w:ascii="宋体" w:hAnsi="宋体" w:cs="宋体"/>
          <w:sz w:val="32"/>
          <w:szCs w:val="32"/>
        </w:rPr>
        <w:t>℃</w:t>
      </w:r>
      <w:r>
        <w:rPr>
          <w:rFonts w:ascii="Times New Roman" w:hAnsi="Times New Roman" w:eastAsia="仿宋_GB2312"/>
          <w:sz w:val="32"/>
          <w:szCs w:val="32"/>
        </w:rPr>
        <w:t>，整机作业效率较同吨位燃油车提升10%；（3）整机能耗成本较燃油车降低45%；（4）整车续航时间≥6小时；（5）整车充电时间0%SOC~100%SOC≤2小时；（6）能量回收率≥15%；（7）司机耳旁噪音＜75dB(A)，机外噪音≤105 dB(A)；（8）实现电驱传动系统最高传动效率＞92%，噪音≤103dB，具备自动换挡功能；（9）形成电动智能产品装配工艺1套，装配技术规范1套；（10）设备每小时平均电耗≤40kWh；（11）开发智能电动装载机样机1台，智能电动挖掘机样机1台；（12）申请并授权发明专利3件以上，制定国家标准/行业标准/企业标准1项以上；（13）项目实施后，年销售新能源工程机械产品150台以上，产值不低于12000万元，创造利税不低于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4" w:name="_Toc83570470"/>
      <w:r>
        <w:rPr>
          <w:rFonts w:ascii="Times New Roman" w:hAnsi="Times New Roman" w:eastAsia="仿宋_GB2312"/>
          <w:b/>
          <w:sz w:val="32"/>
          <w:szCs w:val="32"/>
        </w:rPr>
        <w:t>方向5：工程机械智能化技术研究及应用</w:t>
      </w:r>
      <w:bookmarkEnd w:id="94"/>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子方向1：远程智能遥控工程机械研究及应用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开展基于WIFI、特高频及5G通讯技术在智能工程机械产品上的远程控制指令和图像的传输应用研究；（2）研究基于人工智能技术的增强现实环境感知技术对远程遥控的距离感缺失的影响；（3）研究智能遥控装载机和挖掘机的辅助作业技术对远程遥控作业效率的影响，形成具有自主知识产权的核心技术；（4）通过自主辅助作业与增强现实相结合技术，在露天工况下实现精准定位和防撞，同时实现远程遥控操作高效装车作业，并具备智能机器批量生产的条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远程遥控工程机械实现完整的作业循环，在露天工况下遥控操作装车作业效率达到现场操作的80%以上，铲装满斗率达现场操作的95%以上；（2）控制指令延时≤100ms，图像时延≤300ms；（3）申请并授权发明专利3件以上；（4）项目实施期内，相关技术应用产品实现销售收入不少于800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子方向2：大型和超大型塔式起重装备智能控制及管理关键技术研发与产业化应用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大型和超大型塔机大柔度、大位移结构的模块化几何非线性分析关键技术及应用；（2）研究塔机智能控制技术、监控系统集成化技术与产业化应用；（3）研究塔机抗风防风和快速降套架等主动防御系列技术，提升塔机抵抗台风能力；（4）开展基于新材料、新工艺的大型塔机先进生产和智能制造关键技术研究，提升大型塔机生产制造智能化水平，形成大型塔机装备智能工厂示范项目；（5）研究基于云计算技术的塔机运维智慧监管平台关键技术及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系列智能塔式起重机产品，新产品型号不少于10种，覆盖100t·m到2000t∙m；（2）研制一款2000t·m级别或以上的超大型智能塔式起重机，最大起重量100t，最大工作幅度80m，填补广西空白；（3）开发一套建筑起重设备数字化管理平台，实施期间实现3000台套设备接入管理；（4）申请并授权发明专利5件以上，</w:t>
      </w:r>
      <w:r>
        <w:rPr>
          <w:rFonts w:hint="eastAsia" w:ascii="Times New Roman" w:hAnsi="Times New Roman" w:eastAsia="仿宋_GB2312"/>
          <w:sz w:val="32"/>
          <w:szCs w:val="32"/>
        </w:rPr>
        <w:t>制定</w:t>
      </w:r>
      <w:r>
        <w:rPr>
          <w:rFonts w:ascii="Times New Roman" w:hAnsi="Times New Roman" w:eastAsia="仿宋_GB2312"/>
          <w:sz w:val="32"/>
          <w:szCs w:val="32"/>
        </w:rPr>
        <w:t>国家/行业/地方/企业标准2项；（5）项目实施期内，实现产能达到2000台/年，实现产值不少于10个亿，实现销售收入不少于10个亿（以销定产），创造利税2000万元/年，新建塔机智能化、绿色化生产示范线1条；（6）引进或培养高级工程师3人。</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5" w:name="_Toc83570471"/>
      <w:r>
        <w:rPr>
          <w:rFonts w:ascii="Times New Roman" w:hAnsi="Times New Roman" w:eastAsia="仿宋_GB2312"/>
          <w:b/>
          <w:sz w:val="32"/>
          <w:szCs w:val="32"/>
        </w:rPr>
        <w:t>方向6：工程机械节能、降噪及抗疲劳设计关键技术研究</w:t>
      </w:r>
      <w:bookmarkEnd w:id="9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bCs/>
          <w:kern w:val="0"/>
          <w:sz w:val="32"/>
          <w:szCs w:val="32"/>
        </w:rPr>
      </w:pPr>
      <w:r>
        <w:rPr>
          <w:rFonts w:ascii="Times New Roman" w:hAnsi="Times New Roman" w:eastAsia="仿宋_GB2312"/>
          <w:b/>
          <w:sz w:val="32"/>
          <w:szCs w:val="32"/>
        </w:rPr>
        <w:t>子方向1：工程机械液压电机泵关键技术研究及产业化应用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大功率液压电机泵的关键技术及集成方法；（2）研究液压电机泵的吸油效率问题，开发高效的吸油增压装置，并形成具有自主知识产权的核心技术；（3）研究液压电机泵的宽调速技术，重点解决高转速下的吸油不足问题和高转速下所带来的噪声问题；（4）研究和开展电机、多液压泵和高效吸油装置的一体化及其共融设计方法，解决多对象耦合下的振动和稳定性问题，突破关键零部件的轻量化和测试技术，稳定且批量生产出适用于电动工程机械的大功率液压电机泵。</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出适用于5吨电动装载机大功率、宽调速及高效的液压电机泵样机，其中额定功率100kW左右（最高额定压力25MPa左右，最高额定流量350L/min左右），调速范围400rpm~3000rpm，液压电机泵吸油效率较目前液压泵在同等工况下提升5%以上；（2）高转速额定功率下液压电机泵的噪声不高于现水平（现技术方案为电机+液压泵的传统连接方式）；总重量不高于现水平；（3）申请并授权发明专利3件以上，制定国家标准/行业标准/企业标准3项以上；（4）培养副高以上级工程师2名以上，中级工程师4名以上；（5）项目实施周期内，小批量装机50台以上；（6）项目实施后，每自然年销售新能源工程机械产品50台以上，产值不低于5000万元，创造利税1000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6" w:name="_Toc83570472"/>
      <w:r>
        <w:rPr>
          <w:rFonts w:ascii="Times New Roman" w:hAnsi="Times New Roman" w:eastAsia="仿宋_GB2312"/>
          <w:b/>
          <w:sz w:val="32"/>
          <w:szCs w:val="32"/>
        </w:rPr>
        <w:t>方向7：工程机械核心零部件关键技术研发</w:t>
      </w:r>
      <w:bookmarkEnd w:id="9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子方向1：装载机高压油缸研发及产业化应用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高压油缸理论设计方法，通过有限元仿真分析，实现油缸关键结构参数优化设计；（2）研究缸体焊缝疲劳寿命关键技术，通过对材料、焊接方法研究，结合油缸的耐久性试验，掌握油缸焊缝疲劳寿命关键技术；（3）研究缸筒内孔精密加工核心工艺技术，实现缸筒圆度、直线度和表面粗糙度的高精度制造；（4）研究活塞杆的在线检测技术，提升活塞杆质量控制能力和加工效率；（5）研究高压油缸试验关键技术和试验设备，从而实现对油缸质量控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装载机高压油缸工作压力≥25MPa，建立一套高压油缸焊接关键工艺方法，实现焊缝脉冲疲劳寿命达到30万次以上；（2）形成高压油缸缸筒精密加工工艺，实现缸筒圆度0.02mm以内；（3）搭建活塞杆在线检测系统，具备日均300根能力；（4）研究高压油缸出厂试验方法，具备25MPa以上油缸试验测试能力；（5）申请并获得授权发明专利3件以上，制定行业标准/企业标准2项以上；（6）项目实施期间内，实现销售收入10000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97" w:name="_Toc83570473"/>
      <w:r>
        <w:rPr>
          <w:rFonts w:ascii="Times New Roman" w:hAnsi="Times New Roman" w:eastAsia="黑体"/>
          <w:kern w:val="0"/>
          <w:sz w:val="32"/>
          <w:szCs w:val="32"/>
        </w:rPr>
        <w:t>专题三：高端装备制造</w:t>
      </w:r>
      <w:bookmarkEnd w:id="97"/>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8" w:name="_Toc83570474"/>
      <w:r>
        <w:rPr>
          <w:rFonts w:ascii="Times New Roman" w:hAnsi="Times New Roman" w:eastAsia="仿宋_GB2312"/>
          <w:b/>
          <w:sz w:val="32"/>
          <w:szCs w:val="32"/>
        </w:rPr>
        <w:t>方向8：机器人关键技术攻关及产品开发</w:t>
      </w:r>
      <w:bookmarkEnd w:id="98"/>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子方向1：高速公路养护系列移动机器人成套装备研发与应用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高速公路养护作业移动机器人平台技术和可灵活部署在通用车辆的车载成套装备，实现高速公路养护全自动无人作业；（2）研发快速锥桶收放机器人本体及集成控制技术；（3）研究中央隔离绿化带绿篱单颗造型修剪机器人，突破绿篱修剪机器人树干轴心快速识别和快速定位技术；（4）研究可满足道路、防撞墙、桥梁混凝土破拆的水射流破拆机器人装备；（5）研究养护机器人核心部件和整机系统自检测系统及智能诊断评价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3种以上养护系列移动机器人成套装备；（2）全自动锥桶收放机器人的锥桶库容量大于320个，速度不小于10个/分钟，实现直线、斜线、S型线等形状的锥桶摆放和回收，并无漏放和漏收；（3）全自动无人作业绿篱修剪机器人满足3种以上单颗造型修剪，具有高精度视觉识别及定位技术，作业速度大于2颗/分钟；（4）高压水射流破拆机器人可远程控制，破拆压力达到110~200MPa，破拆深度不小于500mm，破拆混凝土强度不小于60MPa，破拆效率不小于1.2m</w:t>
      </w:r>
      <w:r>
        <w:rPr>
          <w:rFonts w:ascii="Times New Roman" w:hAnsi="Times New Roman" w:eastAsia="仿宋_GB2312"/>
          <w:sz w:val="32"/>
          <w:szCs w:val="32"/>
          <w:vertAlign w:val="superscript"/>
        </w:rPr>
        <w:t>3</w:t>
      </w:r>
      <w:r>
        <w:rPr>
          <w:rFonts w:ascii="Times New Roman" w:hAnsi="Times New Roman" w:eastAsia="仿宋_GB2312"/>
          <w:sz w:val="32"/>
          <w:szCs w:val="32"/>
        </w:rPr>
        <w:t>/h；（5）完成不少于3个示范工程建设；（6）申请并获得授权发明专利3件以上；（7）项目实施期内，形成生产能力300台套以上，销售及服务收入不少于6000万元。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子方向2：公路护栏柱钻孔、打桩一体化机器人关键技术研究与产业化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实现公路护栏柱钻孔、立柱抓取及打桩一体化机器人本体的机械机构；（2）研究多姿态精确调节的导向机构；（3）研究护栏柱钻孔、打桩作业的智能感知及精确定位；（4）研究自主作业路径导航关键技术；（5）研究整体的机电液协同优化控制技术；（6）从本体结构设计、结构重组、承载方式等方面开展钻孔、打桩一体机器人产品的适用性、可靠性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考核指标：（1）研发3~5款新型公路护栏钻孔、打桩一体机器人；（2）突破公路护栏钻孔、打桩自动定位及作业关键技术，作业效率提升2~3倍，桩位偏差小于2cm；（3）单桩自动定位时间小于30s；（4）申请并获得授权发明专利3件以上；（5）项目实施期内，实现生产机器人90台套，新增产值9000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子方向3：下肢外骨骼康复机器人的研发与产业化应用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设计并开发具有跑台、平衡减重、外骨骼等机构的下肢外骨骼康复机器人；（2）开发下肢外骨骼人-机交互数据采集传感器；（3）开发下肢外骨骼康复机器人控制系统，形成具有自主知识产权的核心技术；（4）开发下肢康复训练数据采集与分析系统。</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考核指标：（1）外骨骼的关节角度运动精度±1°，采样频率小于等于1次/秒，外骨骼髋关节活动度：</w:t>
      </w:r>
      <w:r>
        <w:rPr>
          <w:rFonts w:ascii="Times New Roman" w:hAnsi="Times New Roman" w:eastAsia="仿宋"/>
          <w:sz w:val="32"/>
          <w:szCs w:val="32"/>
        </w:rPr>
        <w:t>−</w:t>
      </w:r>
      <w:r>
        <w:rPr>
          <w:rFonts w:ascii="Times New Roman" w:hAnsi="Times New Roman" w:eastAsia="仿宋_GB2312"/>
          <w:sz w:val="32"/>
          <w:szCs w:val="32"/>
        </w:rPr>
        <w:t>15~47°，膝关节活动度：0~77°；（2）减重系统适用患者最大身高为195cm，可使身体重心在行走时上下浮动，范围：0~18cm，减重范围：0~75kg，准确度：±1.5kg，最大负载100kg；（3）外骨骼、减重系统和跑台可以自动同步，配合外骨骼训练时速度1.0~3.0km/h；（4）申请并获得授权发明专利3件以上；（5）项目实施期内，产能达到50台（套）/年，实现销售收入不少于5000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子方向4：应急救援机器人技术研发及成果转化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为应对山区山体滑坡、泥石流、城市洪涝、暴雨救援等灾害情况，开展复杂地形条件下救援机器人轮爪腿高位越障、陡坡攀爬技术的研究；（2）开展救援机器人远程控制、周边地形信息反馈及机器人移动自适应能力的研究；（3）针对救援现场任务多样性，开展多功能属具自动快换装置的研究，实现“一机多用”；（4）开展机器人作业状态监测、故障自诊断能力及预警指导的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考核指标：（1）机器人整体重量≤6t，爬坡角度≥35°，越障高度≥1m，涉水</w:t>
      </w:r>
      <w:r>
        <w:rPr>
          <w:rFonts w:hint="eastAsia" w:ascii="Times New Roman" w:hAnsi="Times New Roman" w:eastAsia="仿宋_GB2312"/>
          <w:sz w:val="32"/>
          <w:szCs w:val="32"/>
        </w:rPr>
        <w:t>深</w:t>
      </w:r>
      <w:r>
        <w:rPr>
          <w:rFonts w:ascii="Times New Roman" w:hAnsi="Times New Roman" w:eastAsia="仿宋_GB2312"/>
          <w:sz w:val="32"/>
          <w:szCs w:val="32"/>
        </w:rPr>
        <w:t>度≥1.5m；（2）上装属具不少于4种，包括：液压夹具、货叉、消防炮、破拆锤；（3）遥控距离≥1km，具备5G通讯及微波通讯能力，主从控制时延≤0.5s；（4）机器人具备属具快速切换功能，具备故障自诊断及预警功能；（5）申请并授权发明专利3件以上；（6）项目实施期内，新增产值10000万元，新增利税3000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99" w:name="_Toc83570475"/>
      <w:r>
        <w:rPr>
          <w:rFonts w:ascii="Times New Roman" w:hAnsi="Times New Roman" w:eastAsia="仿宋_GB2312"/>
          <w:b/>
          <w:sz w:val="32"/>
          <w:szCs w:val="32"/>
        </w:rPr>
        <w:t>方向9：无人机和飞行器关键技术攻关及产品开发</w:t>
      </w:r>
      <w:bookmarkEnd w:id="99"/>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bCs/>
          <w:kern w:val="0"/>
          <w:sz w:val="32"/>
          <w:szCs w:val="32"/>
        </w:rPr>
      </w:pPr>
      <w:r>
        <w:rPr>
          <w:rFonts w:ascii="Times New Roman" w:hAnsi="Times New Roman" w:eastAsia="仿宋_GB2312"/>
          <w:b/>
          <w:sz w:val="32"/>
          <w:szCs w:val="32"/>
        </w:rPr>
        <w:t>子方向1：联网自动驾驶飞行器整机装备研制及应用示范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制低时延、高带宽、高安全性的新型联网自动驾驶飞行器；（2）研发具备安全性、可靠性、鲁棒性、稳定性等特征的调度管理系统；（3）研发自主导航、自主起降、自主任务规划的关键技术；（4）飞行控制系统多备份冗余设计；（5）基于模型的动力系统/电池管理系统设计布局、新型制造技术、结构设计和工艺等；（6）研究5G高通网络、数据加密与云服务、大数据处理的技术，实现智能化调度管理与飞行器运营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飞行控制系统冗余度≥2；（2）发动机的推重比≥1.5；（3）强度设计安全系数≥2；（4）通讯系统备份数量≥2；（5）飞行控制单元硬件备份数≥2；（6）MTBF≥100h；（7）指挥调度系统容量（同时在线任务机器）≥1000；（8）应用示范1项；（9）申请并获得授权发明专利6件以上；（10）项目实施期内，每年产能达到100台，实现销售收入不少于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子方向2：无人机重油发动机系列化工程开发及电控系统国产化应用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无人机用高可靠性、高轻量化、低油耗航空重油活塞式动力总成关键技术研究及系列化工程开发；（2）研究点燃式重油航空发动机的爆震抑制技术；（3）研究航空重油空气辅助喷射关键技术；（4）研究无人机动力总成全权限数字电子控制系统通用平台国产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考核指标：（1）发动机系列化产品升功率≥55kW，功重比≥1.0，巡航工况最低燃油消耗率≤325g/kWh，环境温度在</w:t>
      </w:r>
      <w:r>
        <w:rPr>
          <w:rFonts w:ascii="Times New Roman" w:hAnsi="Times New Roman" w:eastAsia="仿宋"/>
          <w:sz w:val="32"/>
          <w:szCs w:val="32"/>
        </w:rPr>
        <w:t>−</w:t>
      </w:r>
      <w:r>
        <w:rPr>
          <w:rFonts w:ascii="Times New Roman" w:hAnsi="Times New Roman" w:eastAsia="仿宋_GB2312"/>
          <w:sz w:val="32"/>
          <w:szCs w:val="32"/>
        </w:rPr>
        <w:t>40</w:t>
      </w:r>
      <w:r>
        <w:rPr>
          <w:rFonts w:hint="eastAsia" w:ascii="宋体" w:hAnsi="宋体" w:cs="宋体"/>
          <w:sz w:val="32"/>
          <w:szCs w:val="32"/>
        </w:rPr>
        <w:t>℃</w:t>
      </w:r>
      <w:r>
        <w:rPr>
          <w:rFonts w:ascii="Times New Roman" w:hAnsi="Times New Roman" w:eastAsia="仿宋_GB2312"/>
          <w:sz w:val="32"/>
          <w:szCs w:val="32"/>
        </w:rPr>
        <w:t>~+55</w:t>
      </w:r>
      <w:r>
        <w:rPr>
          <w:rFonts w:hint="eastAsia" w:ascii="宋体" w:hAnsi="宋体" w:cs="宋体"/>
          <w:sz w:val="32"/>
          <w:szCs w:val="32"/>
        </w:rPr>
        <w:t>℃</w:t>
      </w:r>
      <w:r>
        <w:rPr>
          <w:rFonts w:ascii="Times New Roman" w:hAnsi="Times New Roman" w:eastAsia="仿宋_GB2312"/>
          <w:sz w:val="32"/>
          <w:szCs w:val="32"/>
        </w:rPr>
        <w:t>可靠起动，使用燃料为柴油、航空煤油；航空重油发动机爆震指数MAPO≤0.1MPa；（2）航空重油雾化粒径≤15微米，ECU重量≤500g，ECU硬件实现国产率≥80%；（3）申请并获得授权发明专利8件以上；（3）项目实施期内，开发1-120kW系列化重油发动机6~7款，新建无人机动力总成生产示范线2条，完全覆盖国内起飞重量1500kg以内的军用及工业级无人机市场，实现年销售收入不少于3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0" w:name="_Toc83570476"/>
      <w:r>
        <w:rPr>
          <w:rFonts w:ascii="Times New Roman" w:hAnsi="Times New Roman" w:eastAsia="仿宋_GB2312"/>
          <w:b/>
          <w:sz w:val="32"/>
          <w:szCs w:val="32"/>
        </w:rPr>
        <w:t>方向10：船舶与海洋工程装备研发</w:t>
      </w:r>
      <w:bookmarkEnd w:id="100"/>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子方向1：绿色智能西江船舶关键技术研究及工程示范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绿色智能西江内河船舶发展路径；（2）研究绿色智能西江标志性船舶总体设计；（3）研究西江标志性船舶智能控制与信息系统总体设计方案；（4）研究西江货运船舶绿色智能技术工程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标志性船型达到绿色船舶-3有关EEDI的评估要求及至少两项“i-ship”附加标志；（2）示范船取得《内河绿色船舶规范》“绿色船舶-3”附加标志及至少两项“i-ship”附加标志；（3）示范船相比同类型船营运综合节能效果不低于15%；（4）开发主力船型尺度、型线、动力系统、智能设备配置谱系化设计平台；（5）申请并获得授权发明专利3件以上，制定行业或地方标准1项以上；（6）项目实施期内，实现新增产值1.5亿元，新增利税2500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子方向2：适于广西北部湾的海上风电配套装备关键技术研究与产业化应用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分析广西北部湾海域风电装备的环境适应性；（2）研究适于广西北部湾海域的风电装备的选型方案；（3）研究适于广西北部湾的海上风电基础结构的优化设计技术；（4）研究适于广西北部湾海域风电装备性能评价的评价体系；（5）研究适于北部湾地区海上风电塔筒制造的工艺技术；（6）研究用于海上风电装备的高强度钢材的焊接与变形控制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形成一套适于广西北部湾的海上风电配套装备关键工艺技术，其中装备适应最大水深30m，适用风速范围5~15m/s，能抵御北部湾海域50年一遇海况，整机设计寿命≥20年，风机容量≥5MW；（2）开发一套风电装备技术经济性评价软件系统；（3）实现相关海上风电机型产业化应用；（4）申请并获得授权发明专利3件以上，制定企业标准2项以上；（5）项目实施期间，实现钢结构生产能力不低于20万吨/年，相关销售收入10亿元以上；（6）培养正高、副高职称人才7人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子方向3：适于广西北部湾海域的简易井口平台关键技术研究与应用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适于北部湾海域环境、地质、油藏特性等条件的简易井口平台总体型式；（2）研究简易井口平台配套工艺技术，包括一筒多井技术、井口流动保障工艺技术、注水配套工艺技术等；（3）研究考虑固井及多井筒隔水管作用的简易井口平台结构优化技术；（4）研究简易井口平台运输、下水、安装等海上施工工艺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形成一套目标油田简易井口平台设计文件，通过船级社审核并进行工程化应用，其中平台适应最大水深≥30m，最大设计风速≥100kn，井槽数≥2个，支持隔水管尺寸≥36″；（2）与以往常规井口平台设计方案相比，建造及安装费用节省不少于20%；（3）申请并获得授权发明专利3件以上；（4）培养正高、副高职称人才5人以上；（5）项目实施期内新建示范生产基地1个，产能达到3座/年，实现产值2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1" w:name="_Toc83570477"/>
      <w:r>
        <w:rPr>
          <w:rFonts w:ascii="Times New Roman" w:hAnsi="Times New Roman" w:eastAsia="仿宋_GB2312"/>
          <w:b/>
          <w:sz w:val="32"/>
          <w:szCs w:val="32"/>
        </w:rPr>
        <w:t>方向11：轮胎制造及装备关键技术研发</w:t>
      </w:r>
      <w:bookmarkEnd w:id="101"/>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子方向1：航空轮胎关键装备技术研究及产品开发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研究内容：（1）研究航空轮胎高耐久钢丝圈螺旋缠绕技术；（2）研究航空轮胎新型波形保护层制造技术；（3）研究航空轮胎室内动态拟真寿命考核技术；（4）研究高寿命民用航空轮胎工艺制造技术。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航空轮胎螺旋钢丝圈绕丝盘转速≥200rpm，钢丝圈内截面直径公差≤0.25mm，波形保护层帘线间距≤1.8mm，振幅波动≤0.5，正弦波波长为15~20mm，制造效率≥10m/min，轮辊试验机摩擦模块表面摩擦系数为0.8~2.0，涂层厚度≥0.2mm，涂层抗拉结合强度≥15Mpa；（2）B737-800主轮胎H44.5×16.5-21 28PR TL起降次数≥180次，前轮胎27×7.75R15起降次数≥200次；（3）申请并获得授权发明专利3件以上，制定考核轮胎使用寿命的行业标准1项；（4）项目实施期预期形成2万套/年航空轮胎生产能力，实现销售收入不小于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子方向2：电加热式轮胎硫化机关键技术研究及产业化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采用电加热轮胎硫化技术取代目前传统的蒸汽加热轮胎硫化技术；（2）基于电磁感应加热原理，研究适于轮胎硫化的感应加热电源和测控电路技术；（3）研究硫化护罩与加热线圈一体的柱面电磁感应加热装置，研究温度均布的圆平面电磁感应加热装置，研究基于电磁感应、红外辐射和氮气热传导的封闭腔体一体式加热装置；</w:t>
      </w:r>
      <w:r>
        <w:rPr>
          <w:rFonts w:hint="eastAsia" w:ascii="Times New Roman" w:hAnsi="Times New Roman" w:eastAsia="仿宋_GB2312"/>
          <w:sz w:val="32"/>
          <w:szCs w:val="32"/>
        </w:rPr>
        <w:t>（4）研究微波硫化技术，探索轮胎微波加热一体机加热技术及装置；</w:t>
      </w:r>
      <w:r>
        <w:rPr>
          <w:rFonts w:ascii="Times New Roman" w:hAnsi="Times New Roman" w:eastAsia="仿宋_GB2312"/>
          <w:sz w:val="32"/>
          <w:szCs w:val="32"/>
        </w:rPr>
        <w:t>（</w:t>
      </w:r>
      <w:r>
        <w:rPr>
          <w:rFonts w:hint="eastAsia" w:ascii="Times New Roman" w:hAnsi="Times New Roman" w:eastAsia="仿宋_GB2312"/>
          <w:sz w:val="32"/>
          <w:szCs w:val="32"/>
        </w:rPr>
        <w:t>5</w:t>
      </w:r>
      <w:r>
        <w:rPr>
          <w:rFonts w:ascii="Times New Roman" w:hAnsi="Times New Roman" w:eastAsia="仿宋_GB2312"/>
          <w:sz w:val="32"/>
          <w:szCs w:val="32"/>
        </w:rPr>
        <w:t>）形成具有自主知识产权的系列产品。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考核指标：（1）柱面、圆平面、封闭腔体三类加热装置的温度控制精度±1</w:t>
      </w:r>
      <w:r>
        <w:rPr>
          <w:rFonts w:hint="eastAsia" w:ascii="宋体" w:hAnsi="宋体" w:cs="宋体"/>
          <w:sz w:val="32"/>
          <w:szCs w:val="32"/>
        </w:rPr>
        <w:t>℃</w:t>
      </w:r>
      <w:r>
        <w:rPr>
          <w:rFonts w:ascii="Times New Roman" w:hAnsi="Times New Roman" w:eastAsia="仿宋_GB2312"/>
          <w:sz w:val="32"/>
          <w:szCs w:val="32"/>
        </w:rPr>
        <w:t>；（2）电加热轮胎硫化技术使硫化机的电能热转化率不低于95%，节能、环保；（3）申请并获得授权发明专利3件以上；（4）项目实施期内，产能达到300台套/年，实现销售收入不少于1亿元。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2" w:name="_Toc83570478"/>
      <w:r>
        <w:rPr>
          <w:rFonts w:ascii="Times New Roman" w:hAnsi="Times New Roman" w:eastAsia="仿宋_GB2312"/>
          <w:b/>
          <w:sz w:val="32"/>
          <w:szCs w:val="32"/>
        </w:rPr>
        <w:t>方向12：矿山工程装备关键技术研发</w:t>
      </w:r>
      <w:bookmarkEnd w:id="102"/>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子方向1：大型系列微粉钢渣立磨装备关键技术研发及应用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并制备一种新型多尺度复相弥散增强铁基复合材料，实现高耐磨特殊服役环境适应性构件的规模化稳定制备，提高其使用寿命和服役安全性；（2）研究大型立磨主机料辊盘结构及粉碎原理，提高粉磨效果和能量利用率；（3）研究大型分级机的超细分级结构，解决大产能下的超细分级精度和效率；（4）研究大型立磨智能控制系统，保证其高效安全运行。</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新型抗高温金属液热冲击的复相弥散梯度增强预制体制备技术，该新型耐磨复合材料形成硬度梯度：陶瓷颗粒显微维氏硬度≥1300，内生硬质相硬度≥800，基体硬度≥500，同时实现复合材料界面的冶金结合，新型复合材料磨辊的耐磨损性能达单一钢铁基体材料磨辊的2倍以上；（2）研发大型系列微粉钢渣立磨装备关键技术，产量20~150t/h，产品细度450~800m</w:t>
      </w:r>
      <w:r>
        <w:rPr>
          <w:rFonts w:ascii="Times New Roman" w:hAnsi="Times New Roman" w:eastAsia="仿宋_GB2312"/>
          <w:sz w:val="32"/>
          <w:szCs w:val="32"/>
          <w:vertAlign w:val="superscript"/>
        </w:rPr>
        <w:t>2</w:t>
      </w:r>
      <w:r>
        <w:rPr>
          <w:rFonts w:ascii="Times New Roman" w:hAnsi="Times New Roman" w:eastAsia="仿宋_GB2312"/>
          <w:sz w:val="32"/>
          <w:szCs w:val="32"/>
        </w:rPr>
        <w:t>/kg；（3）申请并获得授权发明专利3件以上；（4）项目实施期间，推广应用3~5家用户，实现销售收入1亿元以上，利税2000万元以上。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3" w:name="_Toc83570479"/>
      <w:r>
        <w:rPr>
          <w:rFonts w:ascii="Times New Roman" w:hAnsi="Times New Roman" w:eastAsia="仿宋_GB2312"/>
          <w:b/>
          <w:sz w:val="32"/>
          <w:szCs w:val="32"/>
        </w:rPr>
        <w:t>方向13：预应力机械装备关键技术研究及产品开发</w:t>
      </w:r>
      <w:bookmarkEnd w:id="103"/>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子方向1：超千米级悬索桥缆索体系制造与智能施工装备关键技术研究及产业化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研究内容：（1）研究2100MPa级超高强度锌铝镁镀层钢丝主缆索股配套锚固技术；（2）研究超长（主跨超千米级悬索桥）钢丝主缆索股的制造装备技术及制索工艺；（3）研制超大直径智能化紧缆机；（4）研制钢索式1000吨级液压提升智能化缆载吊机；（5）研制超大直径智能化缠丝机。</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2100MPa级超高强度锌铝镁镀层钢丝主缆索股疲劳性能满足应力上限为0.45fptk、应力幅为200Mpa、200万次疲劳试验，疲劳后静载锚固效率达到95%；（2）超长钢丝主缆索股制索精度达1/20000索长；（3）超大直径智能化紧缆机适用主缆直径φ600~φ1150mm，可实现主缆空隙率≤18%，紧缆圆度，横轴和纵轴尺寸同步误差&lt;5mm；（4）钢索式智能化缆载吊机具备1000吨（不含吊具）最大提升能力，提升速度可达30m/h，提升同步误差&lt;20mm；具备一键自动缆上行走、自动跨越索夹能力，行走速度可达25m/h；（5）超大直径智能化缠丝机适应主缆直径1000~1200mm，跨越主缆索夹长度最大4000mm，最大张力3200N，可兼容圆形、S型钢丝；（6）申请并获得授权发明专利5</w:t>
      </w:r>
      <w:r>
        <w:rPr>
          <w:rFonts w:hint="eastAsia" w:ascii="Times New Roman" w:hAnsi="Times New Roman" w:eastAsia="仿宋_GB2312"/>
          <w:sz w:val="32"/>
          <w:szCs w:val="32"/>
        </w:rPr>
        <w:t>件</w:t>
      </w:r>
      <w:r>
        <w:rPr>
          <w:rFonts w:ascii="Times New Roman" w:hAnsi="Times New Roman" w:eastAsia="仿宋_GB2312"/>
          <w:sz w:val="32"/>
          <w:szCs w:val="32"/>
        </w:rPr>
        <w:t>以上；（7）培养教授级高工2名，研究生5名；（8）项目实施期内，实现销售收入4亿元以上。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仿宋_GB2312"/>
          <w:b/>
          <w:kern w:val="0"/>
          <w:sz w:val="32"/>
          <w:szCs w:val="32"/>
        </w:rPr>
      </w:pPr>
      <w:r>
        <w:rPr>
          <w:rFonts w:ascii="Times New Roman" w:hAnsi="Times New Roman" w:eastAsia="仿宋_GB2312"/>
          <w:b/>
          <w:kern w:val="0"/>
          <w:sz w:val="32"/>
          <w:szCs w:val="32"/>
        </w:rPr>
        <w:br w:type="page"/>
      </w:r>
      <w:bookmarkStart w:id="104" w:name="_Toc83570480"/>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仿宋_GB2312"/>
          <w:b/>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方正小标宋简体"/>
          <w:color w:val="000000"/>
          <w:kern w:val="0"/>
          <w:sz w:val="44"/>
          <w:szCs w:val="44"/>
        </w:rPr>
      </w:pPr>
      <w:r>
        <w:rPr>
          <w:rFonts w:ascii="Times New Roman" w:hAnsi="Times New Roman" w:eastAsia="方正小标宋简体"/>
          <w:color w:val="000000"/>
          <w:kern w:val="0"/>
          <w:sz w:val="44"/>
          <w:szCs w:val="44"/>
        </w:rPr>
        <w:t>新一代人工智能专项</w:t>
      </w:r>
      <w:bookmarkEnd w:id="104"/>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方正小标宋简体"/>
          <w:color w:val="000000"/>
          <w:kern w:val="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05" w:name="_Toc83570481"/>
      <w:r>
        <w:rPr>
          <w:rFonts w:ascii="Times New Roman" w:hAnsi="Times New Roman" w:eastAsia="黑体"/>
          <w:kern w:val="0"/>
          <w:sz w:val="32"/>
          <w:szCs w:val="32"/>
        </w:rPr>
        <w:t>专题一：人工智能硬件及计算平台研发</w:t>
      </w:r>
      <w:bookmarkEnd w:id="10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6" w:name="_Toc83570482"/>
      <w:r>
        <w:rPr>
          <w:rFonts w:ascii="Times New Roman" w:hAnsi="Times New Roman" w:eastAsia="仿宋_GB2312"/>
          <w:b/>
          <w:sz w:val="32"/>
          <w:szCs w:val="32"/>
        </w:rPr>
        <w:t>方向1：视频智能终端专用芯片研发及产业化</w:t>
      </w:r>
      <w:bookmarkEnd w:id="106"/>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研究面向智能终端设备电源管理、高清成像和精确定位的系列人工智能算法和专用芯片，以及产业化应用。（1）研发智能电源管理芯片，设计全集成的高效的压电能量收集接口电路和低功耗电源管理单元；（2）研究非视距信号的鉴别及修正算法，研发高精度UWB（超宽带）室内定位芯片；（3）研究高清高帧频智能成像算法，研发基于COB 封装技术的图像传感器芯片；（4）开发人工智能系列专用芯片集成化应用平台。</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考核指标：（1）研发电源管理芯片，芯片面积不超过1mm</w:t>
      </w:r>
      <w:r>
        <w:rPr>
          <w:rFonts w:ascii="Times New Roman" w:hAnsi="Times New Roman" w:eastAsia="仿宋_GB2312"/>
          <w:sz w:val="32"/>
          <w:szCs w:val="32"/>
          <w:vertAlign w:val="superscript"/>
        </w:rPr>
        <w:t>2</w:t>
      </w:r>
      <w:r>
        <w:rPr>
          <w:rFonts w:ascii="Times New Roman" w:hAnsi="Times New Roman" w:eastAsia="仿宋_GB2312"/>
          <w:sz w:val="32"/>
          <w:szCs w:val="32"/>
        </w:rPr>
        <w:t>；可实现完全无需外部供电情况下的冷启动功能；设计的压电能量收集接口电路最高输出功率不低于100μW；设计的电源管理电路静态功耗低于200nA，带载能力不低于10mA；（2）研发具有自主知识产权的高精度、低功耗超宽带定位芯片，功耗不高于1mW@1Hz，射频信号带宽不低于500MHz，中心频率4GHz~7GHz；（3）研发高清高帧频图像传感器芯片，分辨率不低于1920×1080，帧频不低于60FPS；（4）获发明专利授权6件以上，获软件著作授权10件以上；（5）项目实施期内新增产值2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7" w:name="_Toc83570483"/>
      <w:r>
        <w:rPr>
          <w:rFonts w:ascii="Times New Roman" w:hAnsi="Times New Roman" w:eastAsia="仿宋_GB2312"/>
          <w:b/>
          <w:sz w:val="32"/>
          <w:szCs w:val="32"/>
        </w:rPr>
        <w:t>方向2：智能音频芯片研发和产业化</w:t>
      </w:r>
      <w:bookmarkEnd w:id="10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主要研究开发内容：研究用于智能产品中降低环境噪声的数字主动降噪芯片</w:t>
      </w:r>
      <w:r>
        <w:rPr>
          <w:rFonts w:hint="eastAsia" w:ascii="Times New Roman" w:hAnsi="Times New Roman" w:eastAsia="仿宋_GB2312"/>
          <w:sz w:val="32"/>
          <w:szCs w:val="32"/>
        </w:rPr>
        <w:t>。</w:t>
      </w:r>
      <w:r>
        <w:rPr>
          <w:rFonts w:ascii="Times New Roman" w:hAnsi="Times New Roman" w:eastAsia="仿宋_GB2312"/>
          <w:sz w:val="32"/>
          <w:szCs w:val="32"/>
        </w:rPr>
        <w:t>（1）研究适合全数字主动降噪功能的高精度、低功耗的模数转换电路IP，优化增强线性度及高转换精度技术、连续RC积分器等技术，以减小背景噪声的采样误差、芯片自身的噪声误差，加快模数转换速率，简化电路结构、降低电路功耗；（2）研究适合智能降噪音频芯片的Sigma-Delta调制器等模块来提高模数转换器的转换精度，减少语音量化误差；优化设计插值滤波器、低通滤波器来减少开关噪声的影响，提升输出的音质水平；（3）研究设计可编程音频处理引擎，支持192kHz串口速率，开发高速低时延低功耗DSP；（4）研究适应入耳式、耳罩式等耳机的主动音频降噪算法，在保证相应的降噪深度的基础上减少算法的运算量以降低电路功耗和转换时间；（5）研究DSP处理算法电路实现，采用硬件集成的方式设计算法IP集成到主动降噪芯片中，减少外围器件的数量，应用于蓝牙耳机；（6）研究实现主动降噪SOC芯片后端的完整设计流程，包括低功耗的物理实现技术和DFT可测性实现技术，完成芯片流片和测试。</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考核指标：（1）研发数字主动降噪芯片并实现产业化，芯片指标为：低功耗，典型降噪功耗&lt;20mW；设计并开发精度24-bits ADCs和DACs；ADC信噪比&gt;96dB，DAC信噪比&gt;102dB；典型降噪深度30dB；采样率≥192kHz；支持不少于2路模拟麦克风信号输入、不少于4路数字麦克风信号输入；提供I2C和SPI数据接口；工作温度范围：</w:t>
      </w:r>
      <w:r>
        <w:rPr>
          <w:rFonts w:ascii="Times New Roman" w:hAnsi="Times New Roman" w:eastAsia="仿宋"/>
          <w:sz w:val="32"/>
          <w:szCs w:val="32"/>
        </w:rPr>
        <w:t>−</w:t>
      </w:r>
      <w:r>
        <w:rPr>
          <w:rFonts w:ascii="Times New Roman" w:hAnsi="Times New Roman" w:eastAsia="仿宋_GB2312"/>
          <w:sz w:val="32"/>
          <w:szCs w:val="32"/>
        </w:rPr>
        <w:t>40</w:t>
      </w:r>
      <w:r>
        <w:rPr>
          <w:rFonts w:hint="eastAsia" w:ascii="宋体" w:hAnsi="宋体" w:cs="宋体"/>
          <w:sz w:val="32"/>
          <w:szCs w:val="32"/>
        </w:rPr>
        <w:t>℃</w:t>
      </w:r>
      <w:r>
        <w:rPr>
          <w:rFonts w:ascii="Times New Roman" w:hAnsi="Times New Roman" w:eastAsia="仿宋_GB2312"/>
          <w:sz w:val="32"/>
          <w:szCs w:val="32"/>
        </w:rPr>
        <w:t>~85</w:t>
      </w:r>
      <w:r>
        <w:rPr>
          <w:rFonts w:hint="eastAsia" w:ascii="宋体" w:hAnsi="宋体" w:cs="宋体"/>
          <w:sz w:val="32"/>
          <w:szCs w:val="32"/>
        </w:rPr>
        <w:t>℃</w:t>
      </w:r>
      <w:r>
        <w:rPr>
          <w:rFonts w:ascii="Times New Roman" w:hAnsi="Times New Roman" w:eastAsia="仿宋_GB2312"/>
          <w:sz w:val="32"/>
          <w:szCs w:val="32"/>
        </w:rPr>
        <w:t>；（2）数字主动降噪应用及调试系统开发：完成降噪调试系统及量产工具开发，应用于调试量产；（3）培养5名以上国内领先的数模混合集成电路、SoC设计工程师；（4）获发明专利授权3件以上，获集成电路版图专利授权8件以上；（5）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8" w:name="_Toc83570484"/>
      <w:r>
        <w:rPr>
          <w:rFonts w:ascii="Times New Roman" w:hAnsi="Times New Roman" w:eastAsia="仿宋_GB2312"/>
          <w:b/>
          <w:sz w:val="32"/>
          <w:szCs w:val="32"/>
        </w:rPr>
        <w:t>方向3：工程安全控制芯片的研发与产业化</w:t>
      </w:r>
      <w:bookmarkEnd w:id="108"/>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开发应用于工程安全控制的数码电子芯片，为工程安全控制芯片产业化应用提供整体解决方案。（1）研究工程安全控制系统的工作机理和构建方法，包括工程安全控制的相关理论、启动系统的安全通讯及其可靠组网方法；（2）研究工程安全控制芯片的低功耗设计，探究从系统级到物理级低功耗的多层次协同优化的方法；（3）研究工程安全控制芯片并联组网通信技术，探索两线无极性双向通信，实现芯片延时准确和超低功耗设计；（4）研究全环境下系统的高可靠性设计，探究在宽温度范围、敏感频率点、静电和射频干扰等复杂环境下系统安全可靠工作的机理和方法；（5）探究工程安全控制芯片延时精度的误差源及其补偿方法，研究兼顾高延期精度和宽延期范围的机理，以及晶体管级电路实现的方法，研究延期时间在线可编程的方法与实现；（6）研究并开发芯片专用的启动器和管控软件，探究可靠组网和组网最大化的方法与实现，探究包含启动器的电子密码锁、工程安全控制等芯片的身份识别码、管壳码以及启动密码在内的多重安全认证与保障机制；（7）研究产品在生产工艺上的良品率和可靠度，建立完备的测试解决方案。</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实现直流无极性供电，芯片功耗≤0.15mW；支持电力载波半双工通讯方式，通信速度≥1kbit/s；芯片具有可编程性、支持芯片二次开发；并联组网数量≥1000发；（2）高可靠性：满足工业苛刻环境需要，可承受任意一端和管壳间10kV、&lt;10uA；AC 220V，DC 48V，保持10秒无误操作；工作温度范围宽达</w:t>
      </w:r>
      <w:r>
        <w:rPr>
          <w:rFonts w:ascii="Times New Roman" w:hAnsi="Times New Roman" w:eastAsia="仿宋"/>
          <w:sz w:val="32"/>
          <w:szCs w:val="32"/>
        </w:rPr>
        <w:t>−</w:t>
      </w:r>
      <w:r>
        <w:rPr>
          <w:rFonts w:ascii="Times New Roman" w:hAnsi="Times New Roman" w:eastAsia="仿宋_GB2312"/>
          <w:sz w:val="32"/>
          <w:szCs w:val="32"/>
        </w:rPr>
        <w:t>40</w:t>
      </w:r>
      <w:r>
        <w:rPr>
          <w:rFonts w:hint="eastAsia" w:ascii="宋体" w:hAnsi="宋体" w:cs="宋体"/>
          <w:sz w:val="32"/>
          <w:szCs w:val="32"/>
        </w:rPr>
        <w:t>℃</w:t>
      </w:r>
      <w:r>
        <w:rPr>
          <w:rFonts w:ascii="Times New Roman" w:hAnsi="Times New Roman" w:eastAsia="仿宋_GB2312"/>
          <w:sz w:val="32"/>
          <w:szCs w:val="32"/>
        </w:rPr>
        <w:t>~85</w:t>
      </w:r>
      <w:r>
        <w:rPr>
          <w:rFonts w:hint="eastAsia" w:ascii="宋体" w:hAnsi="宋体" w:cs="宋体"/>
          <w:sz w:val="32"/>
          <w:szCs w:val="32"/>
        </w:rPr>
        <w:t>℃</w:t>
      </w:r>
      <w:r>
        <w:rPr>
          <w:rFonts w:ascii="Times New Roman" w:hAnsi="Times New Roman" w:eastAsia="仿宋_GB2312"/>
          <w:sz w:val="32"/>
          <w:szCs w:val="32"/>
        </w:rPr>
        <w:t>；（3）低延期时间段的延期精度达±1.5ms，宽延期范围下延期精度达1%；（4）射频感度：在1MHz~1300MHz和0.5GHz~18GHz范围内，向脚线-脚线、脚线-管壳之间注入10W的射频功率，在定型结构上的敏感频率点、对讲机和手机常用频率测试时，产品不产生反应；（5）获发明专利授权3件以上，获集成电路版图专利授权6件以上，培养10名专业工程师；（6）项目实施期内新增产值1.5亿元以上，新增就业岗位20人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09" w:name="_Toc83570485"/>
      <w:r>
        <w:rPr>
          <w:rFonts w:ascii="Times New Roman" w:hAnsi="Times New Roman" w:eastAsia="仿宋_GB2312"/>
          <w:b/>
          <w:sz w:val="32"/>
          <w:szCs w:val="32"/>
        </w:rPr>
        <w:t>方向4：光通信芯片开发和产业化</w:t>
      </w:r>
      <w:bookmarkEnd w:id="109"/>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研究用于光通信、航空航天、汽车电子等领域的MEMS芯片并实现产业化应用。（1）研究开发静电直接驱动MEMS芯片，优化核心结构、驱动技术等，研究悬臂梁电极垂直结构等多种驱动方案；（2）研究低损耗、高速、高可靠性的MEMS微结构驱动设计；（3）建立MEMS芯片的工艺参数模型，仿真分析各个参数对性能的影响，确定工艺参数，并通过实验验证芯片加工工艺的可行性，固化生产工艺，形成规模化生产；（4）开展MEMS芯片和器件应用开发，设计生产系列化产品，满足光通信、航空航天、汽车电子等多个领域对高性能完全自主MEMS相关产品的迫切需求。</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MEMS芯片，芯片指标为：微镜直径1mm，镜面反射率&gt;95%，工作波长1520nm~1560nm；双轴MEMS芯片，双轴偏转角度&gt;±3°；插入损耗&lt;0.3dB；MEMS器件指标：插入损耗&lt;1.3dB，串扰&gt;40dB，切换时间&lt;30ms；（2）培养2名以上国内MEMS芯片设计、仿真、工艺领域专家；（3）获发明专利授权3件以上，获软件著作授权4件以上；（4）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0" w:name="_Toc83570486"/>
      <w:r>
        <w:rPr>
          <w:rFonts w:ascii="Times New Roman" w:hAnsi="Times New Roman" w:eastAsia="仿宋_GB2312"/>
          <w:b/>
          <w:sz w:val="32"/>
          <w:szCs w:val="32"/>
        </w:rPr>
        <w:t>方向5：通信射频前端（FEM）研发和产业化</w:t>
      </w:r>
      <w:bookmarkEnd w:id="110"/>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射频前端国产化需求，支持开展新一代通信射频前端（FEM）研发。（1）开展高功率高线性度PA设计研究，提升PA功率和线性度；（2）开展超低噪声放大器设计研究，研发更低噪声系数的LNA，以满足无线通讯传输速率对信噪比提出</w:t>
      </w:r>
      <w:r>
        <w:rPr>
          <w:rFonts w:hint="eastAsia" w:ascii="Times New Roman" w:hAnsi="Times New Roman" w:eastAsia="仿宋_GB2312"/>
          <w:sz w:val="32"/>
          <w:szCs w:val="32"/>
        </w:rPr>
        <w:t>的</w:t>
      </w:r>
      <w:r>
        <w:rPr>
          <w:rFonts w:ascii="Times New Roman" w:hAnsi="Times New Roman" w:eastAsia="仿宋_GB2312"/>
          <w:sz w:val="32"/>
          <w:szCs w:val="32"/>
        </w:rPr>
        <w:t>更高要求；（3）开展新工艺研发设计研究，以解决单芯片的局限性，使采用多种工艺的射频前端可以用于更多的应用；（4）开展物理设计研究，高集成度高性能的射频前端在散热、电磁场耦合等方面都提出了更高的要求，设计人员需要综合考虑，提出优化的物理设计；（5）开展先进封装设计研究，FEM采用SIP或者MCM的方式封装；（6）开展系统整合设计研究，制定新一代无线通讯标准，与SOC厂家配合，争取成为参考设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支持2.4GHz和5GHz频段；支持高带宽；支持QAM调制，&lt;1%DEVM；输出功率&gt;20dBm；噪声系数NF&lt;3.0dB；（2）培养4名以上国内领先的射频集成电路设计人员；（3）获发明专利授权3件以上，获软件著作授权5件以上；（4）射频前端完成研发和量产，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1" w:name="_Toc83570487"/>
      <w:r>
        <w:rPr>
          <w:rFonts w:ascii="Times New Roman" w:hAnsi="Times New Roman" w:eastAsia="仿宋_GB2312"/>
          <w:b/>
          <w:sz w:val="32"/>
          <w:szCs w:val="32"/>
        </w:rPr>
        <w:t>方向6：混合架构人工智能计算平台关键技术研发</w:t>
      </w:r>
      <w:bookmarkEnd w:id="111"/>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研发主要应用于AI推理和训练场景，具有超强性能，为推理和训练场景构建高效能、低功耗的AI计算平台；支持多个国产GPU混合部署或板载加速模块，适应各种视频图像分析场景；主要应用于视频分析、深度学习训练及推理等。（1）基于GPU+CPU融合模式的人工智能应用平台硬件系统架构的研究；（2）高密度计算平台智能散热系统关键技术的研究；（3）多GPU高速信号互联及多系统扩展等关键技术的研究；（4）国产异构计算架构CANN关键技术的调试与优化；（5）平台系统软件和三个典型深度学习应用框架研究与优化；（6）基于容器的虚拟化技术的研发与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考核指标：（1）搭载不少于2颗鲲鹏920高性能通用处理器和8个Atlas 300I推理卡；（2）AI算力最大达到704 TOPS INT8，提供强大的实时推理能力；（3）32个DDR4内存插槽，最高达到2933 MT/s；（4）支持JPEG和视频硬件编解码，提升图片和视频类应用内性能，可提供640路高清视频实时分析（1080P 25FPS）；（5）获发明专利授权3件，获实用新型专利授权5件以上；（6）项目实施期内新增产值4亿元以上。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12" w:name="_Toc83570488"/>
      <w:r>
        <w:rPr>
          <w:rFonts w:ascii="Times New Roman" w:hAnsi="Times New Roman" w:eastAsia="黑体"/>
          <w:kern w:val="0"/>
          <w:sz w:val="32"/>
          <w:szCs w:val="32"/>
        </w:rPr>
        <w:t>专题二：物联网及工业互联网应用研发</w:t>
      </w:r>
      <w:bookmarkEnd w:id="112"/>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3" w:name="_Toc83570489"/>
      <w:r>
        <w:rPr>
          <w:rFonts w:ascii="Times New Roman" w:hAnsi="Times New Roman" w:eastAsia="仿宋_GB2312"/>
          <w:b/>
          <w:sz w:val="32"/>
          <w:szCs w:val="32"/>
        </w:rPr>
        <w:t>方向7：物联网应用系统开发工具研究及应用示范</w:t>
      </w:r>
      <w:bookmarkEnd w:id="113"/>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聚焦物联网应用系统开发工具的标准化、普及化、低成本化和产品化等关键问题，创新自主可控物联网底层技术的应用，拓展数字经济工具和丰富数字经济生态。（1）研发基于自主可控底层技术的物联网应用系统，实现应用系统的模块化体系架构、硬件无关化技术、图形化开发配置引擎和开发工具系列组合；（2）研发万物互联实时数字孪生技术，实现数字孪生直接物联的全息态工具化和图形化技术，构建感知信息孪生空间与万物互联实体空间的动态相关空间系统；（3）研究具有动态规模性感知数据支撑功能的“云-边-端”安全可信智能化系统，创新研究行业场景数字大脑和能力开放平台，实现“云-边-端”行业场景数字大脑智能决策技术；（4）研究万物互联面向如智慧交通、智慧工厂、智慧园区和智慧物流等重点行业、重点场景的应用示范，突破设备多源异构终端规模性融合接入、多维度负载状态感知、安全传输、数字孪生、可信预测和智能管控等难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物联网应用系统，并实现产品化，应用系统开发技术新增单个模块的开发周期不超过5天，图形化新增常规模块的开发周期不超过4小时，系统代码合成计算时间小于20分钟；（2）开发万物互联应用场景数字孪生系统，并实现产品化，数字孪生技术核心运算时间不超过100ms，单项网络延迟50ms以下且上下行独享带宽不低于10Mbps时，实现小于800ms的孪生周期；（3）在4个重点行业、重点场景形成万物互联智能化管理系统及其应用数字孪生技术，并实现产品化；（4）开展重点行业、重点场景的应用示范用户数量50家以上；（5）建立自治区级万物互联应用开发开放常态化创新平台；（6）获发明专利授权3件以上，获软件著作授权10件以上；（7）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4" w:name="_Toc83570490"/>
      <w:r>
        <w:rPr>
          <w:rFonts w:ascii="Times New Roman" w:hAnsi="Times New Roman" w:eastAsia="仿宋_GB2312"/>
          <w:b/>
          <w:sz w:val="32"/>
          <w:szCs w:val="32"/>
        </w:rPr>
        <w:t>方向8：工业互联网智能防御溯源系统研发及应用示范</w:t>
      </w:r>
      <w:bookmarkEnd w:id="114"/>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工业互联网存在高隐蔽未知威胁的问题，支持开展虚实结合的融合防护体系研究。（1）研究使用拟态虚实融合防护技术，以最大面积覆盖所有控制器及控制系统，使攻击者无法精确的对真实设备进行攻击；（2）研究基于人工智能的工业控制系统及相关防护设施实时检测技术，实现实时的安全防护及响应；（3）研究基于人工智能的未知漏洞的挖掘，以预防安全事件的发生，减少系统存在的安全隐患，进一步提升系统的安全性；（4）研究异构特征数据脱敏共享方法，以解决其他地区的相似系统被同一手段攻击的问题，减少损失；（5）研究基于人工智能的攻击溯源方法，可根据已获取的特征数据，对攻击事件进行溯源，从最大范围深入打击违法犯罪活动；（6）研究区块链安全跨链技术，用于快速安全的共享高隐蔽未知威胁的关键数据以及开展网络攻击的溯源。</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1套完整的人工智能工业互联网与工业控制安全系统，集成至少4种针对工业互联网的攻击溯源方法，并利用攻击溯源方法完成1份针对工业互联网的攻击溯源分析报告；（2）拟态虚实融合防护技术支持至少1种完整的工业控制系统行为模拟；（3）人工漏洞挖掘系统至少挖掘5种以上工业互联网与工业控制设备的3种漏洞；（4）异构安全事件检测支持至少4种工业控制协议的融合检测；（5）区块链跨链支持至少3种主流区块链的安全数据交换；（6）获发明专利授权5件以上，获软件著作授权10件以上；（7）建立1~2个示范应用，依托研究成果形成市场化产品；（8）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5" w:name="_Toc83570491"/>
      <w:r>
        <w:rPr>
          <w:rFonts w:ascii="Times New Roman" w:hAnsi="Times New Roman" w:eastAsia="仿宋_GB2312"/>
          <w:b/>
          <w:sz w:val="32"/>
          <w:szCs w:val="32"/>
        </w:rPr>
        <w:t>方向9：智能制造及数字化工厂关键技术研究及应用示范</w:t>
      </w:r>
      <w:bookmarkEnd w:id="11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子方向1：多品种小批量零部件智能工厂关键技术研究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w:t>
      </w:r>
      <w:r>
        <w:rPr>
          <w:rFonts w:hint="eastAsia" w:ascii="Times New Roman" w:hAnsi="Times New Roman" w:eastAsia="仿宋_GB2312"/>
          <w:sz w:val="32"/>
          <w:szCs w:val="32"/>
        </w:rPr>
        <w:t>围绕制造业智能化转型需求，研究</w:t>
      </w:r>
      <w:r>
        <w:rPr>
          <w:rFonts w:ascii="Times New Roman" w:hAnsi="Times New Roman" w:eastAsia="仿宋_GB2312"/>
          <w:sz w:val="32"/>
          <w:szCs w:val="32"/>
        </w:rPr>
        <w:t>面向工程机械精密零件加工的智能生产系统</w:t>
      </w:r>
      <w:r>
        <w:rPr>
          <w:rFonts w:hint="eastAsia" w:ascii="Times New Roman" w:hAnsi="Times New Roman" w:eastAsia="仿宋_GB2312"/>
          <w:sz w:val="32"/>
          <w:szCs w:val="32"/>
        </w:rPr>
        <w:t>，推动人工智能与制造业深度融合。</w:t>
      </w:r>
      <w:r>
        <w:rPr>
          <w:rFonts w:ascii="Times New Roman" w:hAnsi="Times New Roman" w:eastAsia="仿宋_GB2312"/>
          <w:sz w:val="32"/>
          <w:szCs w:val="32"/>
        </w:rPr>
        <w:t>（1）针对工程机械精密零件加工企业的设备类型多、接入协议多、接入数据量大的问题，研究面向加工设备接入技术，开发覆盖主流加工设备的智能接入系统；（2）研究人工智能在多品种小批量零件生产排程的应用技术，开发适合多品种小批量生产的智能排程系统；（3）研究加工装备的智能监测与管理技术，基于现场数据的精密零件加工设备状态、产品质量在线智能预测和闭环控制技术，开发精密零件生产的高级智能管控系统，实现设备加工能力提升与能耗降低。</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小批量柔性生产线的数字化集成和接入技术，开发2类以上零件加工过程工艺数据采集系统，开发精密零部件加工单元智能管控系统一套，具备生产排产、工艺优化、设备加工精度监控等功能；（2）智能排程系统至少支持3种以上的排程算法；（3）在工程机械核心零部件企业进行示范应用，生产线内产品一次交检合格率达到99%以上，单项产品制造周期平均缩短10%以上，综合制造成本减少20%以上；（4）实现制造单元的互联与生产系统的云部署，形成一套工程机械精密零部件小批量柔性智能制造工厂建设规范；（5）项目实施期内完成5家以上企业应用推广，获得2家数字化车间的认定；（6）获授权发明专利授权3件以上，获软件著作授权5件以上；（7）项目实施期内新增产值1.5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r>
        <w:rPr>
          <w:rFonts w:ascii="Times New Roman" w:hAnsi="Times New Roman" w:eastAsia="仿宋_GB2312"/>
          <w:sz w:val="32"/>
          <w:szCs w:val="32"/>
        </w:rPr>
        <w:tab/>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子方向2：智能工厂关键技术研发及产业化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主要研究开发内容：围绕制造业智能化转型需求，推动人工智能与制造业深度融合，开展</w:t>
      </w:r>
      <w:r>
        <w:rPr>
          <w:rFonts w:hint="eastAsia" w:ascii="Times New Roman" w:hAnsi="Times New Roman" w:eastAsia="仿宋_GB2312"/>
          <w:sz w:val="32"/>
          <w:szCs w:val="32"/>
        </w:rPr>
        <w:t>智能工厂关键技术研发及产业化</w:t>
      </w:r>
      <w:r>
        <w:rPr>
          <w:rFonts w:ascii="Times New Roman" w:hAnsi="Times New Roman" w:eastAsia="仿宋_GB2312"/>
          <w:sz w:val="32"/>
          <w:szCs w:val="32"/>
        </w:rPr>
        <w:t>研究。（1）研发新一代制造执行系统（MES），实现生产过程数据化、透明化、智能化，生产工艺信息化无纸化；（2）研发制造人工智能无人工艺技术，应用机器人实现生产全流程无人化、信息化；（3）研制专用机械手硬件机构，满足具有自主知识产权的执行系统及专用工序的要求；（4）研制集成式智能生产线，采用机器人技术、传感技术、集中控制技术，通过控制算法实现各机构及机械手的协同高效生产运作；（5）开发高速数据库并实现远程监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制人工智能专用制造装备1套，月均产值达到2000万元规模以上；（2）研发具备工艺指令输入、存储、转换等软件控制功能，以及具有产品质量在线检测识别和不合格品捕捉下线数字化系统；（3）采用Spark大数据存储与计算模型，响应时间小于300ms；（4）生产运行的智能化要求实现反馈与控制的双向通信；（5）实现生产、销售全过程追溯，可按照订单、单个产品、批次或者时间追溯，追溯响应时间不大于500ms；（6）MES关键工艺参数每小时随机获取数采样本；（7）基于数采数据设计应用于工艺分析、制造参数的寻优模型，建立时间、空间和质量的三维模型；（8）开发无人工艺替代人工操作，提高生产效率，生产线节省用工50%；（9）获发明专利授权3件以上，获实用新型专利授权6件以上，获软件著作权授权5件以上；（10）项目实施期内新增产值</w:t>
      </w:r>
      <w:r>
        <w:rPr>
          <w:rFonts w:hint="eastAsia" w:ascii="Times New Roman" w:hAnsi="Times New Roman" w:eastAsia="仿宋_GB2312"/>
          <w:sz w:val="32"/>
          <w:szCs w:val="32"/>
        </w:rPr>
        <w:t>3.0</w:t>
      </w:r>
      <w:r>
        <w:rPr>
          <w:rFonts w:ascii="Times New Roman" w:hAnsi="Times New Roman" w:eastAsia="仿宋_GB2312"/>
          <w:sz w:val="32"/>
          <w:szCs w:val="32"/>
        </w:rPr>
        <w:t>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16" w:name="_Toc83570492"/>
      <w:r>
        <w:rPr>
          <w:rFonts w:ascii="Times New Roman" w:hAnsi="Times New Roman" w:eastAsia="黑体"/>
          <w:kern w:val="0"/>
          <w:sz w:val="32"/>
          <w:szCs w:val="32"/>
        </w:rPr>
        <w:t>专题三：人工智能技术行业创新应用示范</w:t>
      </w:r>
      <w:bookmarkEnd w:id="11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7" w:name="_Toc83570493"/>
      <w:r>
        <w:rPr>
          <w:rFonts w:ascii="Times New Roman" w:hAnsi="Times New Roman" w:eastAsia="仿宋_GB2312"/>
          <w:b/>
          <w:sz w:val="32"/>
          <w:szCs w:val="32"/>
        </w:rPr>
        <w:t>方向10：智慧交通一体化系统研发及应用示范</w:t>
      </w:r>
      <w:bookmarkEnd w:id="11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交通运输行业数字化发展需求，支持运用云计算、数字孪生、大数据、人工智能、北斗系统等新一代信息技术，开展智慧交通一体化核心部件研发和关键技术攻关。（1）一体化全时空数字孪生总体架构设计及集成，设计高精度时空基准、时空大数据应用的云+端平台框架和接口标准，研制全时空数字孪生数据库及数字孪生访问引擎、地图引擎、分析引擎、可视化引擎；（2）带状高性能北斗高精度增强技术体系研发，突破适用于自动驾驶定位服务的高精度、高可用时空信息服务关键技术，研发高精度时空信息服务平台；（3）全周期高精度多模态空间数据获取、协同处理与多模式应用技术研究，构建高速公路泛在物联信息实时接入、动态监测、实时可视化数字镜像；（4）车路协同数据互联与云管控平台研制，构建云雾计算协同资源和智能分析服务；（5）高速公路智能化应用示范，实现高速公路精准施工管理、交通实时监控、货车自动驾驶等车路协同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设计高精度时空基准、时空大数据应用的云+端平台框架和接口标准，形成高速公路数字孪生系统，可容纳数据量达PB级以上；（2）具备厘米级定位间隔小于2s、百万用户并发、示范路段信号服务质量可用性不低于99.8%；（3）全景20cm空间数据及三维全息处理能力，构建高速公路数字镜像，支撑泛在交通设施全要素全周期精准服务示范；（4）云雾计算协同云管控平台实现二三维一体化高速公路全息地理信息公共平台和大数据智能服务，在不少于20公里在建高速公路上形成优于0.5m数字服务平台；（5）为高速公路智慧建管养运以及货车自动驾驶等示范应用提供信息服务支撑，达到货车L4级示范、厘米级路面施工碾压；（6）获发明专利授权5件以上，获实用新型专利授权10项以上，编撰发布“公路交通数字孪生系统规范”；（7）项目实施期内新增产值不少于3.0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8" w:name="_Toc83570494"/>
      <w:r>
        <w:rPr>
          <w:rFonts w:ascii="Times New Roman" w:hAnsi="Times New Roman" w:eastAsia="仿宋_GB2312"/>
          <w:b/>
          <w:sz w:val="32"/>
          <w:szCs w:val="32"/>
        </w:rPr>
        <w:t>方向11：智慧医疗平台研发与应用示范</w:t>
      </w:r>
      <w:bookmarkEnd w:id="118"/>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主要研究开发内容：围绕提升我区医疗服务供给侧效率与水平，促进AI+医疗的创新融合</w:t>
      </w:r>
      <w:r>
        <w:rPr>
          <w:rFonts w:hint="eastAsia" w:ascii="Times New Roman" w:hAnsi="Times New Roman" w:eastAsia="仿宋_GB2312"/>
          <w:sz w:val="32"/>
          <w:szCs w:val="32"/>
        </w:rPr>
        <w:t>。</w:t>
      </w:r>
      <w:r>
        <w:rPr>
          <w:rFonts w:ascii="Times New Roman" w:hAnsi="Times New Roman" w:eastAsia="仿宋_GB2312"/>
          <w:sz w:val="32"/>
          <w:szCs w:val="32"/>
        </w:rPr>
        <w:t>（1）利用计算机视觉、深度学习等人工智能技术，模拟专业影像医生的诊断思维，开发医学影像学检查的“智能化辅助诊断系统”；（2）开发影像智能标注系统，采用图文相结合的标注方法，充分利用图像处理技术提高影像数据标注的速度，支持快速多目标检测（多病种检测），将检出的影像学特征和影像诊断自动生成影像检查报告；（3）建设诊疗数据样本库，采集病种影像数据库、诊疗数据库、随访数据库等临床诊疗数据样本，并进行相应的数据结构化处理，形成临床诊疗数据样本库；（4）开发诊疗辅助系统，将医学科学与人工智能结合辅助医生进行临床诊疗辅助，利用计算机技术，结合某种特定表示形式的医学知识对医学问题进行分析、解决，赋能从诊断到治疗规划、手术跟踪、预后等多个工作环节，帮助医生进行临床决策，改善和提高其服务水平；（5）开展智慧诊疗应用示范，针对医院不同科室、不同疾病诊疗流程，开发一系列针对不同临床诊疗环节的AI应用，形成覆盖影像科、呼吸内科、心胸外科、心血管内科、骨科、肝脏外科等专科专病的AI应用临床解决方案。</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基于临床专病库和疾病诊疗大数据挖掘的辅助诊疗应用系统1套；（2）形成诊疗数据样本库，标准的结构化数据不低于1万个临床病例数据，且具有完整的数据信息，随机抽查数据以病例为单位合格率不低于99%；（3）完成超过200万张的大数据量、高质量的影像标注数据，完成影像人工智能辅助诊断系统开发；（4）支持不同类型的智能手术规划不少于3种，能够完成如肝脏血管识别、三维重建，介入规划设计等操作；（5）获发明专利授权3件以上，获软件著作授权3件以上；（6）完成智慧诊疗应用评价，覆盖不低于2家医疗机构，临床测试案例不少于3000例；（7）项目实施期间内新增产值不低于1.5亿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19" w:name="_Toc83570495"/>
      <w:r>
        <w:rPr>
          <w:rFonts w:ascii="Times New Roman" w:hAnsi="Times New Roman" w:eastAsia="仿宋_GB2312"/>
          <w:b/>
          <w:sz w:val="32"/>
          <w:szCs w:val="32"/>
        </w:rPr>
        <w:t>方向12：农牧产业智慧供应链系统研发及应用示范</w:t>
      </w:r>
      <w:bookmarkEnd w:id="119"/>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围绕广西农业产业规模化程度较低，市场行为导致生产无序性，出现周期性产能过剩，价格波动大，造成资源极大浪费的问题，支持开展基于区块链与物联网融合的智慧农牧应用研究。（1）将区块链、物联网与人工智能技术融合应用于农牧产业，实现农牧生产过程和环境的智能化管控，包括：生产环境和过程的多模态数据智能采集，农牧生产数据融合，生产环境智能监测和响应等；（2）通过区块链与物联网技术创新融合，实现农牧行业大数据的安全共享和可信追溯，包括：云边融合计算环境中的数据安全共享技术，基于区块链的数据安全控制和流转，面向分布式学习的数据隐私保护等；（3）研究基于农牧大数据的智能学习方法，构建多类型农牧行业产品知识图谱，形成生产质量和价格预测模型，服务于农牧行业生产决策智能化；（4）研究基于区块链的农牧行业产品可信溯源和智能决策平台，实现农牧生产过程和环境的智能监管、农牧产品质量保障和追溯、农牧产品价格预测、以及农牧产品智能推荐服务等功能，在大型农牧企业开展应用示范，为企业提供农牧行业的安全预警和防控，提升农牧企业生产风险调控的科学决策水平。</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发支持农牧数据追溯和管理的自主可控区块链平台，支持至少5种类型农牧产品数据上链管理，形成农牧生产过程可信追溯；自主可控联盟链平台支持每天处理交易2亿笔以上，核心链和应用链交易吞吐量（TPS）不低于10000；区块链网络支持验证节点通信规模不小于100个，支持网络记账节点规模不小于100个，支持机构并发接入不少于1000个；支持智能合约开发语言不少于3种；支持智能合约运行虚拟机引擎不少于2种；（2）平台具有数据安全访问控制和隐私保护功能，支持国产密码算法，支持3种数字签名算法，签名及验签时间不超过1秒；（3）支持3类以上行业数据集成学习，构建广西农牧产品知识图谱节点数量不少于5万个，关系数量大于20万，形成5类以上农产品的质量和价格预测模型，预测准确率达到80%；（4）获发明专利授权5件以上，获软件著作授权10件以上，转化应用5件以上；（5）在至少一家大型农牧企业进行应用示范，成果至少在3类农牧产品推广应用；（6）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0" w:name="_Toc83570496"/>
      <w:r>
        <w:rPr>
          <w:rFonts w:ascii="Times New Roman" w:hAnsi="Times New Roman" w:eastAsia="仿宋_GB2312"/>
          <w:b/>
          <w:sz w:val="32"/>
          <w:szCs w:val="32"/>
        </w:rPr>
        <w:t>方向13：智慧应急平台研发及应用示范</w:t>
      </w:r>
      <w:bookmarkEnd w:id="120"/>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主要研究开发内容：为提升我区防灾减灾救灾水平、提高灾害应急平台的智能化管理，支持开展智慧应急平台研发及应用示范。（1）设计包括</w:t>
      </w:r>
      <w:r>
        <w:rPr>
          <w:rFonts w:hint="eastAsia" w:ascii="Times New Roman" w:hAnsi="Times New Roman" w:eastAsia="仿宋_GB2312"/>
          <w:sz w:val="32"/>
          <w:szCs w:val="32"/>
        </w:rPr>
        <w:t>“</w:t>
      </w:r>
      <w:r>
        <w:rPr>
          <w:rFonts w:ascii="Times New Roman" w:hAnsi="Times New Roman" w:eastAsia="仿宋_GB2312"/>
          <w:sz w:val="32"/>
          <w:szCs w:val="32"/>
        </w:rPr>
        <w:t>感知层</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网络层</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平台层</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应用层</w:t>
      </w:r>
      <w:r>
        <w:rPr>
          <w:rFonts w:hint="eastAsia" w:ascii="Times New Roman" w:hAnsi="Times New Roman" w:eastAsia="仿宋_GB2312"/>
          <w:sz w:val="32"/>
          <w:szCs w:val="32"/>
        </w:rPr>
        <w:t>”</w:t>
      </w:r>
      <w:r>
        <w:rPr>
          <w:rFonts w:ascii="Times New Roman" w:hAnsi="Times New Roman" w:eastAsia="仿宋_GB2312"/>
          <w:sz w:val="32"/>
          <w:szCs w:val="32"/>
        </w:rPr>
        <w:t>一体的智慧灾害预警监管服务系统架构；（2）研究灾害前端感知设备检测数据的高精度、高稳定无线传输方式，实现联网场所灾害自动报警系统实时运行状态在云平台的集中存放和集中管理，并将信息实时准确推送至灾害监控中心，对灾害监督工作进行宏观、重点、精确的监督；（3）打造包含图像资源、政务办公专项平台资源及现场调度资源的智慧灾害监控平台应急救援中心，建立面向政府、企业、社会的公有云服务，为政府部门应急救援和智能决策提供数据支持；（4）开发智慧灾害预警监管服务平台并开展应用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建成云安全智慧应急监控平台1套；（2）建成立体化灾害防控系统，实现城市远程智能监控、设施设智能备监测、安全防范值班人员智能管理等功能；（3）智慧灾害云监控平台可独立安装在所有建筑物内，也可以与智慧城市指挥应急系统组成一个安全监控和应急系统；（4）智慧应急云服务单机并发连接数在1.5~2W之间，系统总体支持并发连接数在3~4W之间，数据包在云端处理时间80ms以内；（5）感知层硬件设备具备实时数据上传能力，支持实时数据请求及动态更新、动态功能扩展，确保全天候服务，通信巡检周期小于20 min；（6）从硬件设备获取灾害警报信息到云安全智慧灾害监控平台接收并显示的响应时间小于8s，硬件设备故障反馈至云安全智慧灾害监控平台并显示时间小于15s；（7）获授权发明专利3项以上，获授权软件著作权5项以上；（8）项目实施期间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1" w:name="_Toc83570497"/>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r>
        <w:rPr>
          <w:rFonts w:ascii="Times New Roman" w:hAnsi="Times New Roman" w:eastAsia="仿宋_GB2312"/>
          <w:b/>
          <w:sz w:val="32"/>
          <w:szCs w:val="32"/>
        </w:rPr>
        <w:t>方向14：绿色智能配电网数字化关键技术研究及应用示范</w:t>
      </w:r>
      <w:bookmarkEnd w:id="121"/>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为加快解决广西电网发展不平衡不充分问题，支持开展面向配电网的大规模传感器灵活取能、多维数据感知与边缘计算关键技术研究；开展面向大规模分布式新能源接入的新型电力可信自组通讯关键技术研究；开发绿色智能配电网大数据信息平台；开展绿色智能配电网韧性智慧调度关键技术、智能感知与诊断关键技术研究。（1）面向配电网的大规模传感器灵活取能、多维数据感知与边缘计算关键技术及产业化应用研究。研制基于无线取能的一体化系列传感装置；研制具有高可靠的配电网数据采集终端及边缘侧智能网关；（2）面向大规模分布式能源接入的新型电力系统可信自组通讯关键技术与产业化应用研究；研制支持可信自组网通讯的数字杆塔，提供5G在绿色智能配电网应用的最后一公里通讯与信息安全解决方案；（3）绿色智能配电网大数据信息平台开发。研究能源互联网的设备状态数据、运行数据等多源异构数据的数据处理关键技术；开发智能配电网大数据平台；研究数据可视化和数字孪生建模及融合技术；（4）绿色韧性配电网智慧调度系统开发。研究适应调度主站边缘计算集群的大容量实时消息分布式处理集群架构、大容量实时数据的多任务并行计算框架、多业务集群动态自主伸缩的多群组容器调度技术；构建基于人工智能的配电网智能感知与诊断分析平台；（5）广西绿色智能配电网示范工程建设及装备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研制适于边缘计算的中压典型设备运行状态采集终端和配电线路运行状态智能网关，终端具备人工智能运算及本地快速诊断功能，智能网关对50个感知终端的数据处理时间少于1min，并实现推广应用；（2）研制可信自组网通讯系列装置，点对点传输距离300m~2000m，传输速率≥200Mbps，传输时延≤10ms；平均功率≤12W，支持≥25级连跳；支持有线无线一体化和智能灾备链路，具备自愈功能以及国家自主可控的信息安全加密方式；（3）建设绿色电网大数据平台，具有PB级存储能力，形成10个区域、数据条目≥500万的空间信息库，可接入实时数据容量≥300000，可接入终端数（每组两台前置）≥3000；（4）建立多维度的数据仓库和终端智能管控平台，构建专题应用数据集≥8套；（5）建立数据可视化和数字孪生融合的数据分析与监控平台，构建绿色电网大数据人工智能分析处理关键技术体系1套，集成具有在线计算能力的智能识别及快速算法≥8种；（6）获发明专利授权20件以上，获软件著作授权14件以上，形成新产品10个以上；（7）项目实施期内新增产值4.0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资助经费：500万元—2000万元。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2" w:name="_Toc83570498"/>
      <w:r>
        <w:rPr>
          <w:rFonts w:ascii="Times New Roman" w:hAnsi="Times New Roman" w:eastAsia="仿宋_GB2312"/>
          <w:b/>
          <w:sz w:val="32"/>
          <w:szCs w:val="32"/>
        </w:rPr>
        <w:t>方向15：面向东盟的多语种互通互译关键技术研究及应用示范</w:t>
      </w:r>
      <w:bookmarkEnd w:id="122"/>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为方便与东盟国家开展经济、文化交流，支持开展面向东盟的多语种互通互译关键技术攻关。（1）开发网络数据采集加工清洗平台，采集东盟国家语言的原始语音和文本数据，构建东南亚语种的语音标注及文本双语句对语料库；（2）研究面向东盟的多语种语音识别技术，实现示范应用场景下的语音识别性能达到使用水平；（3）研究面向东盟的多语种语音合成技术，完成高自然度的语音合成系统构建；（4）研究面向东盟多语种的机器翻译技术，实现高精度的多语种机器翻译系统；（5）研发云端和本地化离线引擎，以及面向大规模并发访问的面向东盟的多语种云服务平台和面向终端设备的多语种离线语音翻译服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考核指标：（1）构建3种以上东盟语种的语音识别语料库，每个语种有效时长≥1000小时；构建三种以上东盟语种的语音合成语料库，每个语种有效时长≥10小时；构建三种以上汉语-东盟语种翻译平行句对语料库，每个语种句对100万对以上；（2）实现3种以上东盟语种的语音识别和语音合成系统构建；语音识别准确率平均不低于90%，语音合成人工分自然度MOS分不低于4.0；实现汉语与三种以上东盟语种之间的双向文字互译；机器翻译忠实度平均不低于85%；（3）获授权发明专利6件以上，获软件著作授权6件以上；（4）项目实施期内新增产值1.5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实施期间：2021年—2024年。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资助经费：500万元—1200万元。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b/>
          <w:kern w:val="0"/>
          <w:sz w:val="32"/>
          <w:szCs w:val="32"/>
        </w:rPr>
      </w:pPr>
      <w:r>
        <w:rPr>
          <w:rFonts w:ascii="Times New Roman" w:hAnsi="Times New Roman"/>
          <w:b/>
          <w:kern w:val="0"/>
          <w:sz w:val="32"/>
          <w:szCs w:val="32"/>
        </w:rPr>
        <w:br w:type="page"/>
      </w:r>
      <w:bookmarkStart w:id="123" w:name="_Toc83570499"/>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b/>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方正小标宋简体"/>
          <w:color w:val="000000"/>
          <w:kern w:val="0"/>
          <w:sz w:val="44"/>
          <w:szCs w:val="44"/>
        </w:rPr>
      </w:pPr>
      <w:r>
        <w:rPr>
          <w:rFonts w:ascii="Times New Roman" w:hAnsi="Times New Roman" w:eastAsia="方正小标宋简体"/>
          <w:color w:val="000000"/>
          <w:kern w:val="0"/>
          <w:sz w:val="44"/>
          <w:szCs w:val="44"/>
        </w:rPr>
        <w:t>高端金属新材料及新型功能材料专项</w:t>
      </w:r>
      <w:bookmarkEnd w:id="123"/>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方正小标宋简体"/>
          <w:color w:val="000000"/>
          <w:kern w:val="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24" w:name="_Toc83570500"/>
      <w:r>
        <w:rPr>
          <w:rFonts w:ascii="Times New Roman" w:hAnsi="Times New Roman" w:eastAsia="黑体"/>
          <w:kern w:val="0"/>
          <w:sz w:val="32"/>
          <w:szCs w:val="32"/>
        </w:rPr>
        <w:t>专题一：高端金属新材料</w:t>
      </w:r>
      <w:bookmarkEnd w:id="124"/>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5" w:name="_Toc83570501"/>
      <w:r>
        <w:rPr>
          <w:rFonts w:ascii="Times New Roman" w:hAnsi="Times New Roman" w:eastAsia="仿宋_GB2312"/>
          <w:b/>
          <w:sz w:val="32"/>
          <w:szCs w:val="32"/>
        </w:rPr>
        <w:t>方向</w:t>
      </w:r>
      <w:r>
        <w:rPr>
          <w:rFonts w:hint="eastAsia" w:ascii="Times New Roman" w:hAnsi="Times New Roman" w:eastAsia="仿宋_GB2312"/>
          <w:b/>
          <w:sz w:val="32"/>
          <w:szCs w:val="32"/>
        </w:rPr>
        <w:t>1</w:t>
      </w:r>
      <w:r>
        <w:rPr>
          <w:rFonts w:ascii="Times New Roman" w:hAnsi="Times New Roman" w:eastAsia="仿宋_GB2312"/>
          <w:b/>
          <w:sz w:val="32"/>
          <w:szCs w:val="32"/>
        </w:rPr>
        <w:t>：铝冶炼综合节能及高端铝合金制备技术研究与应用</w:t>
      </w:r>
      <w:bookmarkEnd w:id="12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子方向1：低能耗氧化铝生产流程母液洁净技术研究与产业化应用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1）氧化铝生产全流程元素普查及分析；（2）铝土矿中有机物在流程中的溶出行为以及降解机理研究；（3）氧化铝流程杂质脱除的工艺技术应用研究及推广应用；（4）氧化铝焙烧炉主炉控制温度与产品灼减控制匹配关系研究；（5）氧化铝焙烧炉主炉控制温度以及烟气中氮氧化物含量变化研究；（6）减少窑灰进入系统的工艺技术研究；（7）低温焙烧技术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考核指标：（1）氧化铝厂精液有机碳降低5%，并且消泡剂用量降低30%；（2）在取保氧化铝产品灼减（0.7%~0.9%）不变的情况下，焙烧炉主炉控制温度较实施前降低30~60</w:t>
      </w:r>
      <w:r>
        <w:rPr>
          <w:rFonts w:hint="eastAsia" w:ascii="宋体" w:hAnsi="宋体" w:cs="宋体"/>
          <w:sz w:val="32"/>
          <w:szCs w:val="32"/>
        </w:rPr>
        <w:t>℃</w:t>
      </w:r>
      <w:r>
        <w:rPr>
          <w:rFonts w:ascii="Times New Roman" w:hAnsi="Times New Roman" w:eastAsia="仿宋_GB2312"/>
          <w:sz w:val="32"/>
          <w:szCs w:val="32"/>
        </w:rPr>
        <w:t>，焙烧炉用电节约100kW/h；（3）项目实施期内形成年增加焙烧氧化铝能力5万吨以上，年新增产值1.2亿元以上，利税3500万元以上；（4）</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授权发明专利3件以上，制定相关国家标准/行业标准/企业标准1项以上；（5）培养高级工程师3名，中级工程师7名以上、硕士研究生以上</w:t>
      </w:r>
      <w:r>
        <w:rPr>
          <w:rFonts w:hint="eastAsia" w:ascii="Times New Roman" w:hAnsi="Times New Roman" w:eastAsia="仿宋_GB2312"/>
          <w:sz w:val="32"/>
          <w:szCs w:val="32"/>
        </w:rPr>
        <w:t>人员</w:t>
      </w:r>
      <w:r>
        <w:rPr>
          <w:rFonts w:ascii="Times New Roman" w:hAnsi="Times New Roman" w:eastAsia="仿宋_GB2312"/>
          <w:sz w:val="32"/>
          <w:szCs w:val="32"/>
        </w:rPr>
        <w:t>3名以上，培训技术人员200人次以上。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子方向2：高韧高耐蚀铝合金厚板制备技术及应用研究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1）研究高韧高耐蚀铝合金成分优化设计；（2）研究高洁净高均匀耐蚀铝合金铸锭制备技术；（3）研究高韧耐蚀铝合金热塑性变形模拟技术；（4）研究高韧耐蚀铝合金特殊时效热处理技术；（5）研究高韧耐蚀铝合金应用评价技术；（6）稳定生产出高韧高耐蚀铝合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考核指标：（1）材料规格不小于80mm × 1500mm × 6000mm；室温拉伸：L向抗拉强度≥525MPa，屈服强度≥460MPa，伸长率≥10%；断裂韧性：L-T向K</w:t>
      </w:r>
      <w:r>
        <w:rPr>
          <w:rFonts w:ascii="Times New Roman" w:hAnsi="Times New Roman" w:eastAsia="仿宋_GB2312"/>
          <w:sz w:val="32"/>
          <w:szCs w:val="32"/>
          <w:vertAlign w:val="subscript"/>
        </w:rPr>
        <w:t>IC</w:t>
      </w:r>
      <w:r>
        <w:rPr>
          <w:rFonts w:ascii="Times New Roman" w:hAnsi="Times New Roman" w:eastAsia="仿宋_GB2312"/>
          <w:sz w:val="32"/>
          <w:szCs w:val="32"/>
        </w:rPr>
        <w:t>≥40MPa·m</w:t>
      </w:r>
      <w:r>
        <w:rPr>
          <w:rFonts w:ascii="Times New Roman" w:hAnsi="Times New Roman" w:eastAsia="仿宋_GB2312"/>
          <w:sz w:val="32"/>
          <w:szCs w:val="32"/>
          <w:vertAlign w:val="superscript"/>
        </w:rPr>
        <w:t>1/2</w:t>
      </w:r>
      <w:r>
        <w:rPr>
          <w:rFonts w:ascii="Times New Roman" w:hAnsi="Times New Roman" w:eastAsia="仿宋_GB2312"/>
          <w:sz w:val="32"/>
          <w:szCs w:val="32"/>
        </w:rPr>
        <w:t>；应力腐蚀临界应力场强度因子：L-T向K</w:t>
      </w:r>
      <w:r>
        <w:rPr>
          <w:rFonts w:ascii="Times New Roman" w:hAnsi="Times New Roman" w:eastAsia="仿宋_GB2312"/>
          <w:sz w:val="32"/>
          <w:szCs w:val="32"/>
          <w:vertAlign w:val="subscript"/>
        </w:rPr>
        <w:t>ISCC</w:t>
      </w:r>
      <w:r>
        <w:rPr>
          <w:rFonts w:ascii="Times New Roman" w:hAnsi="Times New Roman" w:eastAsia="仿宋_GB2312"/>
          <w:sz w:val="32"/>
          <w:szCs w:val="32"/>
        </w:rPr>
        <w:t>≥30MPa·m</w:t>
      </w:r>
      <w:r>
        <w:rPr>
          <w:rFonts w:ascii="Times New Roman" w:hAnsi="Times New Roman" w:eastAsia="仿宋_GB2312"/>
          <w:sz w:val="32"/>
          <w:szCs w:val="32"/>
          <w:vertAlign w:val="superscript"/>
        </w:rPr>
        <w:t>1/2</w:t>
      </w:r>
      <w:r>
        <w:rPr>
          <w:rFonts w:ascii="Times New Roman" w:hAnsi="Times New Roman" w:eastAsia="仿宋_GB2312"/>
          <w:sz w:val="32"/>
          <w:szCs w:val="32"/>
        </w:rPr>
        <w:t>；应力腐蚀：S-L向C环应力腐蚀试样，施加241MPa腐蚀30天，无应力腐蚀开裂；盐雾腐蚀：盐雾腐蚀100h腐蚀速率≤0.45mg·cm</w:t>
      </w:r>
      <w:r>
        <w:rPr>
          <w:rFonts w:ascii="Times New Roman" w:hAnsi="Times New Roman" w:eastAsia="仿宋_GB2312"/>
          <w:sz w:val="32"/>
          <w:szCs w:val="32"/>
          <w:vertAlign w:val="superscript"/>
        </w:rPr>
        <w:t>-2</w:t>
      </w:r>
      <w:r>
        <w:rPr>
          <w:rFonts w:ascii="Times New Roman" w:hAnsi="Times New Roman" w:eastAsia="仿宋_GB2312"/>
          <w:sz w:val="32"/>
          <w:szCs w:val="32"/>
        </w:rPr>
        <w:t>d</w:t>
      </w:r>
      <w:r>
        <w:rPr>
          <w:rFonts w:ascii="Times New Roman" w:hAnsi="Times New Roman" w:eastAsia="仿宋_GB2312"/>
          <w:sz w:val="32"/>
          <w:szCs w:val="32"/>
          <w:vertAlign w:val="superscript"/>
        </w:rPr>
        <w:t>-1</w:t>
      </w:r>
      <w:r>
        <w:rPr>
          <w:rFonts w:ascii="Times New Roman" w:hAnsi="Times New Roman" w:eastAsia="仿宋_GB2312"/>
          <w:sz w:val="32"/>
          <w:szCs w:val="32"/>
        </w:rPr>
        <w:t>；疲劳性能：σ≥200MPa（Kt=1，室温，R=0.1，空气，f=70~150Hz之间，N=10</w:t>
      </w:r>
      <w:r>
        <w:rPr>
          <w:rFonts w:ascii="Times New Roman" w:hAnsi="Times New Roman" w:eastAsia="仿宋_GB2312"/>
          <w:sz w:val="32"/>
          <w:szCs w:val="32"/>
          <w:vertAlign w:val="superscript"/>
        </w:rPr>
        <w:t>7</w:t>
      </w:r>
      <w:r>
        <w:rPr>
          <w:rFonts w:ascii="Times New Roman" w:hAnsi="Times New Roman" w:eastAsia="仿宋_GB2312"/>
          <w:sz w:val="32"/>
          <w:szCs w:val="32"/>
        </w:rPr>
        <w:t>周）；（2）制定高韧高耐蚀铝合金材料相关国家标准/行业标准/企业标准1项以上，</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3）项目实施期内，形成年产5000吨高韧高耐蚀铝合金产能，达新增年产值2亿元以上，利税2500万元以上；（4）培养高级职称技术人员6名以上，引进或培养硕士研究生及以上人员3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子方向3：商用车厢体用高比强度超平铝合金板带材关键技术开发及产业化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1）针对高比强度要求，合理设计高密度合金元素和低密度合金元素的配比，以获得低密度高强度铝合金，通过金相分析技术，研究熔铸工艺参数、热轧工艺参数、热处理工艺参数等对材料显微组织的影响，提高材料性能；（2）利用1+4板形控制系统和冷轧机板形控制系统的在线板形监控功能，研究1+4热连轧中间坯板形、1+4热连轧卷材板形以及冷轧卷材板形之间的遗传关系，通过分析不同轧辊凸度、不同轧制道次压下量下的轧制力和弯辊力，研究轧辊凸度、道次压下量对铝合金板材板形的影响；（3）研究均热工艺、1+4热连轧终轧温度对力学性能的影响，同时研究热轧卷下线冷却方式、冷却速度对热轧卷晶粒度的大小、分布的影响，探索1+4热连轧直接轧制成品的可行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考核指标：（1）开发出商用车厢体用高比强度超平铝合金板带材关键技术及典型规格为厚度0.8~4.0 mm、宽度1500~2200 mm的板带材产品，横向不平度和局部不平度≤0.3%，纵向不平度≤0.25%，比强度≥0.11</w:t>
      </w:r>
      <w:r>
        <w:rPr>
          <w:sz w:val="32"/>
          <w:szCs w:val="32"/>
        </w:rPr>
        <w:t xml:space="preserve"> </w:t>
      </w:r>
      <w:r>
        <w:rPr>
          <w:rFonts w:ascii="Times New Roman" w:hAnsi="Times New Roman" w:eastAsia="仿宋_GB2312"/>
          <w:sz w:val="32"/>
          <w:szCs w:val="32"/>
        </w:rPr>
        <w:t>N·m/kg，90°折弯不裂（2.0t）；（2）项目实施期内形成年产5000吨以上的商用车厢体用高比强度超平铝合金板带材产能，实现商用车厢体用高比强度超平铝合金板带材产销量3000吨以上，销售收入6000万元以上，利税1000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授权发明专利3件以上，制定相关国家标准/行业标准/企业标准1项以上；（4）培养高级工程师1名，中级工程师2名以上、硕士研究生以上</w:t>
      </w:r>
      <w:r>
        <w:rPr>
          <w:rFonts w:hint="eastAsia" w:ascii="Times New Roman" w:hAnsi="Times New Roman" w:eastAsia="仿宋_GB2312"/>
          <w:sz w:val="32"/>
          <w:szCs w:val="32"/>
        </w:rPr>
        <w:t>人员</w:t>
      </w:r>
      <w:r>
        <w:rPr>
          <w:rFonts w:ascii="Times New Roman" w:hAnsi="Times New Roman" w:eastAsia="仿宋_GB2312"/>
          <w:sz w:val="32"/>
          <w:szCs w:val="32"/>
        </w:rPr>
        <w:t>4名以上，培训技术人员200人次以上。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子方向4：新型高端船用高镁铝合金板材关键技术研究及产业化应用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 主要研究开发内容：（1）研究高速船舶用新型高镁铝合金成分设计和熔体质量控制；（2）研究多级均匀化热处理工艺，降低铸造内应力、镁的微观偏析和高温难熔相；（3）研究高镁铝合金板材强应变中温控温轧制技术；（4）研究高镁铝合金板材多级拉伸加工硬化工艺技术，形成具有自主知识产权的核心技术；（5）稳定批量生产出高速船舶用新型高镁铝合金板材。</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考核指标：（1）高速船舶用新型高镁铝合金板材，屈服强度Rm≥270MPa，抗拉强度Rm≥370MPa，延伸率φ≥12%，布氏硬度硬度HB≥100，晶间腐蚀≤15 mg/cm</w:t>
      </w:r>
      <w:r>
        <w:rPr>
          <w:rFonts w:ascii="Times New Roman" w:hAnsi="Times New Roman" w:eastAsia="仿宋_GB2312"/>
          <w:sz w:val="32"/>
          <w:szCs w:val="32"/>
          <w:vertAlign w:val="superscript"/>
        </w:rPr>
        <w:t>2</w:t>
      </w:r>
      <w:r>
        <w:rPr>
          <w:rFonts w:ascii="Times New Roman" w:hAnsi="Times New Roman" w:eastAsia="仿宋_GB2312"/>
          <w:sz w:val="32"/>
          <w:szCs w:val="32"/>
        </w:rPr>
        <w:t>，剥落腐蚀优于PB级（含N/PA/PB）；（2）制定高速船舶用新型高镁铝合金材料相关国家标准/行业标准/企业标准1项以上，</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3）项目实施期内，形成年产5000吨高强耐蚀高镁铝合金板材示范生产线1条，实现销售收入1.5亿元以上，利税2000万元以上；（4）培养高级及以上职称技术人员5名以上，引进或培养硕士研究生及以上人员5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 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 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 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子方向5：铝合金厚板工业化生产残余应力无损检测技术与应用研究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超声波特性与残余应力、第二相及晶界的交互作用机理；（2）研制高精度、高灵敏度铝合金厚板残余应力超声波无损检测设备；（3）研究铝合金厚板残余应力快速、精确无损检测技术；（4）研究铝合金厚板在线式原位残余应力无损实时检测与分析技术；（5）研究塑性变形残余应力消减机理与规律；（6）研究铝合金厚板残余应力分布与机加工变形规律。</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考核指标：（1）使用项目技术制备的低残余应力铝合金厚板按照GB/T 7704标准检测，残余应力值≤ ±50 MPa；（2）工程实验验证使用项目技术制备的低残余应力铝合金厚板经精加工成零件后，零件翘曲变形量绝对值≤1.5 mm，零件的厚度公差≤ ±0.3 mm；（3）制定残余应力检测相关国家标准/行业标准/企业标准1项以上，</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授权发明专利3件以上；（4）实现项目技术相关销售收入1亿元以上，利税1500万元以上；（5）培养高级及以上职称技术人员5名以上，引进或培养硕士研究生及以上人员3名以上，培训技术人员200人次以上。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6" w:name="_Toc83570502"/>
      <w:r>
        <w:rPr>
          <w:rFonts w:ascii="Times New Roman" w:hAnsi="Times New Roman" w:eastAsia="仿宋_GB2312"/>
          <w:b/>
          <w:sz w:val="32"/>
          <w:szCs w:val="32"/>
        </w:rPr>
        <w:t>方向</w:t>
      </w:r>
      <w:r>
        <w:rPr>
          <w:rFonts w:hint="eastAsia" w:ascii="Times New Roman" w:hAnsi="Times New Roman" w:eastAsia="仿宋_GB2312"/>
          <w:b/>
          <w:sz w:val="32"/>
          <w:szCs w:val="32"/>
        </w:rPr>
        <w:t>2</w:t>
      </w:r>
      <w:r>
        <w:rPr>
          <w:rFonts w:ascii="Times New Roman" w:hAnsi="Times New Roman" w:eastAsia="仿宋_GB2312"/>
          <w:b/>
          <w:sz w:val="32"/>
          <w:szCs w:val="32"/>
        </w:rPr>
        <w:t>：绿色减量化高性能钢铁新材料开发与应用研究</w:t>
      </w:r>
      <w:bookmarkEnd w:id="12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子方向1：高端工程机械装备用热轧钢板的开发与产业化应用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高端工程机械装备用高强度结构钢及耐磨钢的微合金化成分设计及窄成分精准控制技术；（2）洁净钢高效精炼及连铸板坯质量控制关键集成技术研究；（3）基于新一代TMCP技术的合金减量化工艺及焊接性能控制技术研究；（4）研究复合微合金化纳米析出相强韧化机制及组织性能调控技术，低温韧性的调控技术研究；（5）基于DQ工艺的高韧耐磨钢绿色生产制造技术研究；（6）高强钢的热处理工艺及板形控制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考核指标：（1）开发3个以上新工业产品；（2）高强度结构钢抗拉强度Rm≥800MPa，低温冲击功KV2≥47J（</w:t>
      </w:r>
      <w:r>
        <w:rPr>
          <w:rFonts w:ascii="Times New Roman" w:hAnsi="Times New Roman" w:eastAsia="仿宋"/>
          <w:sz w:val="32"/>
          <w:szCs w:val="32"/>
        </w:rPr>
        <w:t>−</w:t>
      </w:r>
      <w:r>
        <w:rPr>
          <w:rFonts w:ascii="Times New Roman" w:hAnsi="Times New Roman" w:eastAsia="仿宋_GB2312"/>
          <w:sz w:val="32"/>
          <w:szCs w:val="32"/>
        </w:rPr>
        <w:t>40</w:t>
      </w:r>
      <w:r>
        <w:rPr>
          <w:rFonts w:hint="eastAsia" w:ascii="宋体" w:hAnsi="宋体" w:cs="宋体"/>
          <w:sz w:val="32"/>
          <w:szCs w:val="32"/>
        </w:rPr>
        <w:t>℃</w:t>
      </w:r>
      <w:r>
        <w:rPr>
          <w:rFonts w:ascii="Times New Roman" w:hAnsi="Times New Roman" w:eastAsia="仿宋_GB2312"/>
          <w:sz w:val="32"/>
          <w:szCs w:val="32"/>
        </w:rPr>
        <w:t>）；焊接高强钢抗拉强度Rm≥800MPa，低温冲击功KV2≥47J（</w:t>
      </w:r>
      <w:r>
        <w:rPr>
          <w:rFonts w:ascii="Times New Roman" w:hAnsi="Times New Roman" w:eastAsia="仿宋"/>
          <w:sz w:val="32"/>
          <w:szCs w:val="32"/>
        </w:rPr>
        <w:t>−</w:t>
      </w:r>
      <w:r>
        <w:rPr>
          <w:rFonts w:ascii="Times New Roman" w:hAnsi="Times New Roman" w:eastAsia="仿宋_GB2312"/>
          <w:sz w:val="32"/>
          <w:szCs w:val="32"/>
        </w:rPr>
        <w:t>40</w:t>
      </w:r>
      <w:r>
        <w:rPr>
          <w:rFonts w:hint="eastAsia" w:ascii="宋体" w:hAnsi="宋体" w:cs="宋体"/>
          <w:sz w:val="32"/>
          <w:szCs w:val="32"/>
        </w:rPr>
        <w:t>℃</w:t>
      </w:r>
      <w:r>
        <w:rPr>
          <w:rFonts w:ascii="Times New Roman" w:hAnsi="Times New Roman" w:eastAsia="仿宋_GB2312"/>
          <w:sz w:val="32"/>
          <w:szCs w:val="32"/>
        </w:rPr>
        <w:t>）；高强耐磨钢抗拉强度Rm≥1300MPa，硬度370≤HBW≤430，低温冲击功KV2≥27J （</w:t>
      </w:r>
      <w:r>
        <w:rPr>
          <w:rFonts w:ascii="Times New Roman" w:hAnsi="Times New Roman" w:eastAsia="仿宋"/>
          <w:sz w:val="32"/>
          <w:szCs w:val="32"/>
        </w:rPr>
        <w:t>−</w:t>
      </w:r>
      <w:r>
        <w:rPr>
          <w:rFonts w:ascii="Times New Roman" w:hAnsi="Times New Roman" w:eastAsia="仿宋_GB2312"/>
          <w:sz w:val="32"/>
          <w:szCs w:val="32"/>
        </w:rPr>
        <w:t>20</w:t>
      </w:r>
      <w:r>
        <w:rPr>
          <w:rFonts w:hint="eastAsia" w:ascii="宋体" w:hAnsi="宋体" w:cs="宋体"/>
          <w:sz w:val="32"/>
          <w:szCs w:val="32"/>
        </w:rPr>
        <w:t>℃</w:t>
      </w:r>
      <w:r>
        <w:rPr>
          <w:rFonts w:ascii="Times New Roman" w:hAnsi="Times New Roman" w:eastAsia="仿宋_GB2312"/>
          <w:sz w:val="32"/>
          <w:szCs w:val="32"/>
        </w:rPr>
        <w:t>）；（2）项目实施期内，实现年产高端工程机械装备用热轧钢板5万吨以上，年销售收入2亿元以上，利税2000万元以上；（3）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相关国家标准/行业标准/企业标准1项以上；（4）通过项目实施培养一批技术骨干，其中工程师2名以上，高级工程师2名以上，硕士研究生2名以上，全职引进硕士研究生以上专业技术人员2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子方向2：先进汽车用冷轧及热镀锌高强钢的开发及应用关键技术研究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高效、低成本洁净汽车用钢生产及高性能汽车用冷轧及镀锌板材等设计与制造系统技术；（2）汽车用高强度无间隙原子钢冷轧及镀锌板材的开发与产业化；（3）开发汽车用高强双相钢冷轧及镀锌板材，研究其组织稳定性控制技术，炼钢成分和轧制工艺对马氏体比例和强度的影响；（4）汽车用热镀锌高强钢板产品开发及面向全流程质量稳定控制的综合生产技术；（5）研究基于全流程的先进汽车用钢板材等制造关键技术及生产工艺；（6）建立先进汽车用高强钢板材模拟仿真CAE数据库。</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考核指标：（1）研发170P1、210P1等高强度无间隙原子钢，CR340/590DP、CR420/780DP等高强度双相钢冷轧、热镀锌先进汽车高强钢牌号4个以上，产品性能达到GB/T 20564.2-2017、GB/T 20564.3-2017等相关国家标准要求；（2）项目实施期内，新建20万吨/年冷轧及镀锌先进汽车用钢生产示范线1条，实现销售收入2亿元以上，利税3000万元以上；（3）相关核心技术及产品研究，</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授权发明专利3件以上，制定相关国家标准/行业标准/企业标准1项以上；（4）培养或引进硕士、博士2名以上，培训技术人员300人次以上。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子方向3：先进高强高韧低成本热连轧汽车结构钢关键技术集成与产品研发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转炉高效脱P、脱N工艺研究；（2）高洁净度钢冶炼及夹杂物控制研究；（3）高均质化凝固及组织控制技术研究；（4）“以热代冷”型热轧高品质汽车结构钢的研究开发；（5）1500~2000MPa级超高强度汽车结构钢的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考核指标：（1）转炉吹炼终点P含量≤0.008%；钢中全氧含量≤ 30ppm（小于50μm的夹杂物占总量的80%以上），S含量≤0.003%，[N]≤45ppm、[H]≤2ppm；（2）连铸坯中心偏析达到C类1.0级以上标准，中心C类偏析指数≤ 1.05，铸坯表面无肉眼可见裂纹、夹渣等缺陷；（3）建设含有新一代控轧控冷（TMCP）技术的热轧板带钢生产示范线1条，项目实施期间生产高品质热轧汽车结构钢2万吨以上，抗拉强度：400~1000Mpa（“以热代冷”型）及1500~2000Mpa（超高强度汽车结构钢）；（4）</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超高强度汽车结构钢的制定国家标准/行业标准/企业标准1项以上，推动该超高强度汽车结构钢在区内外获得示范应用，项目实施期间生产的新产品年新增产值1亿元以上，年新增利税3000万元以上；（5）通过项目实施培养一批技术骨干，其中工程师2名以上，高级工程师2名以上，硕士研究生2名以上，全职引进硕士研究生以上专业技术人员5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子方向4：海砂混凝土结构条件下低成本高强高抗蚀钢筋开发与示范应用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低成本高强度高耐蚀海砂混凝土用钢筋化学成分、组织性能设计研究；（2）低成本高强度高耐蚀海砂混凝土用钢筋制备技术研发；（3）低成本高强度高耐蚀海砂混凝土用钢筋半工业化工艺技术研究；（4）高耐蚀高强度海砂混凝土用钢筋核心冶炼轧制加工现场生产工艺研究；（5）钢筋混凝土服役性能研究；（6）施工方法适应性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在普通HRB400钢筋吨钢成本增加不超过10%的基础上，开发出海砂混凝土配套专用的高强耐蚀钢筋，钢筋屈服强度≥450Mpa，断裂延伸率≥15%，焊接、冷弯性能合格，海砂混凝土结构模拟条件下耐蚀性能较常规HRB400钢筋提高100%以上；（2）建成年产100万吨海洋工程用低成本高强高抗蚀钢筋示范生产线1条，实现海砂混凝土用钢筋的稳定生产，年新增产值1亿元以上，年新增利税3000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4）通过项目实施培养一批技术骨干，其中工程师2名以上，高级工程师2名以上，硕士研究生2名以上，全职引进硕士研究生以上专业技术人员5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子方向5：绿色高性能不锈钢新材料关键技术开发与应用研究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利用红土镍矿生产海洋工程不锈钢、稀土合金化高性能不锈钢；（2）通过开发回转窑协同处理关键技术，实现资源化利用；（3）开发不锈钢全流程表面检测集成技术，减少生产缺陷，提高产品质量和成材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考核指标：（1）母材性能满足中国船级社规范，钢板</w:t>
      </w:r>
      <w:r>
        <w:rPr>
          <w:rFonts w:ascii="Times New Roman" w:hAnsi="Times New Roman" w:eastAsia="仿宋"/>
          <w:sz w:val="32"/>
          <w:szCs w:val="32"/>
        </w:rPr>
        <w:t>−</w:t>
      </w:r>
      <w:r>
        <w:rPr>
          <w:rFonts w:ascii="Times New Roman" w:hAnsi="Times New Roman" w:eastAsia="仿宋_GB2312"/>
          <w:sz w:val="32"/>
          <w:szCs w:val="32"/>
        </w:rPr>
        <w:t>20</w:t>
      </w:r>
      <w:r>
        <w:rPr>
          <w:rFonts w:hint="eastAsia" w:ascii="宋体" w:hAnsi="宋体" w:cs="宋体"/>
          <w:sz w:val="32"/>
          <w:szCs w:val="32"/>
        </w:rPr>
        <w:t>℃</w:t>
      </w:r>
      <w:r>
        <w:rPr>
          <w:rFonts w:ascii="Times New Roman" w:hAnsi="Times New Roman" w:eastAsia="仿宋_GB2312"/>
          <w:sz w:val="32"/>
          <w:szCs w:val="32"/>
        </w:rPr>
        <w:t>冲击均值≥80~100J；焊接热影响区冲击功KV2（</w:t>
      </w:r>
      <w:r>
        <w:rPr>
          <w:rFonts w:ascii="Times New Roman" w:hAnsi="Times New Roman" w:eastAsia="仿宋"/>
          <w:sz w:val="32"/>
          <w:szCs w:val="32"/>
        </w:rPr>
        <w:t>−</w:t>
      </w:r>
      <w:r>
        <w:rPr>
          <w:rFonts w:ascii="Times New Roman" w:hAnsi="Times New Roman" w:eastAsia="仿宋_GB2312"/>
          <w:sz w:val="32"/>
          <w:szCs w:val="32"/>
        </w:rPr>
        <w:t>20</w:t>
      </w:r>
      <w:r>
        <w:rPr>
          <w:rFonts w:hint="eastAsia" w:ascii="宋体" w:hAnsi="宋体" w:cs="宋体"/>
          <w:sz w:val="32"/>
          <w:szCs w:val="32"/>
        </w:rPr>
        <w:t>℃</w:t>
      </w:r>
      <w:r>
        <w:rPr>
          <w:rFonts w:ascii="Times New Roman" w:hAnsi="Times New Roman" w:eastAsia="仿宋_GB2312"/>
          <w:sz w:val="32"/>
          <w:szCs w:val="32"/>
        </w:rPr>
        <w:t>）≥41J，腐蚀活性夹杂物密度≤10~15个/mm</w:t>
      </w:r>
      <w:r>
        <w:rPr>
          <w:rFonts w:ascii="Times New Roman" w:hAnsi="Times New Roman" w:eastAsia="仿宋_GB2312"/>
          <w:sz w:val="32"/>
          <w:szCs w:val="32"/>
          <w:vertAlign w:val="superscript"/>
        </w:rPr>
        <w:t>2</w:t>
      </w:r>
      <w:r>
        <w:rPr>
          <w:rFonts w:ascii="Times New Roman" w:hAnsi="Times New Roman" w:eastAsia="仿宋_GB2312"/>
          <w:sz w:val="32"/>
          <w:szCs w:val="32"/>
        </w:rPr>
        <w:t>；（2）产品耐蚀性能按中国腐蚀与防护学会标准T/CSCP00039-2018检测：耐盐雾腐蚀速率小于0.09g/m</w:t>
      </w:r>
      <w:r>
        <w:rPr>
          <w:rFonts w:ascii="Times New Roman" w:hAnsi="Times New Roman" w:eastAsia="仿宋_GB2312"/>
          <w:sz w:val="32"/>
          <w:szCs w:val="32"/>
          <w:vertAlign w:val="superscript"/>
        </w:rPr>
        <w:t>2</w:t>
      </w:r>
      <w:r>
        <w:rPr>
          <w:rFonts w:ascii="Times New Roman" w:hAnsi="Times New Roman" w:eastAsia="仿宋_GB2312"/>
          <w:sz w:val="32"/>
          <w:szCs w:val="32"/>
        </w:rPr>
        <w:t>·h，耐盐水浸泡腐蚀速率小于0.07g/m</w:t>
      </w:r>
      <w:r>
        <w:rPr>
          <w:rFonts w:ascii="Times New Roman" w:hAnsi="Times New Roman" w:eastAsia="仿宋_GB2312"/>
          <w:sz w:val="32"/>
          <w:szCs w:val="32"/>
          <w:vertAlign w:val="superscript"/>
        </w:rPr>
        <w:t>2</w:t>
      </w:r>
      <w:r>
        <w:rPr>
          <w:rFonts w:ascii="Times New Roman" w:hAnsi="Times New Roman" w:eastAsia="仿宋_GB2312"/>
          <w:sz w:val="32"/>
          <w:szCs w:val="32"/>
        </w:rPr>
        <w:t>·h；（3）开发不锈钢全流程表面检测集成技术，实现实时在线检测运行，在线表面缺陷工序判定；建立表面质量缺陷大数据分析数据库；（4）开发高效不锈钢添加稀合金化工艺技术，开发稀土合金化高性能不锈钢新产品，形成年生产能力3万吨的海洋不锈钢产能；（5）固危废回转窑协同处理关键技术研究及应用，实现工厂内危固废100%资源化利用，建成年处理能力18万吨的固危废回转窑协同处理示范生产线；（6）年新增产值3.5亿元以上，利税2000万元以上；（7）</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授权发明专利3件以上，制定国家标准/行业标准/企业标准1项以上；（8）全职引进或培养2名博士或1名正高级职称或2名副高级职称以上人才，培训技术人员200人次以上。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7" w:name="_Toc83570503"/>
      <w:r>
        <w:rPr>
          <w:rFonts w:ascii="Times New Roman" w:hAnsi="Times New Roman" w:eastAsia="仿宋_GB2312"/>
          <w:b/>
          <w:sz w:val="32"/>
          <w:szCs w:val="32"/>
        </w:rPr>
        <w:t>方向</w:t>
      </w:r>
      <w:r>
        <w:rPr>
          <w:rFonts w:hint="eastAsia" w:ascii="Times New Roman" w:hAnsi="Times New Roman" w:eastAsia="仿宋_GB2312"/>
          <w:b/>
          <w:sz w:val="32"/>
          <w:szCs w:val="32"/>
        </w:rPr>
        <w:t>3</w:t>
      </w:r>
      <w:r>
        <w:rPr>
          <w:rFonts w:ascii="Times New Roman" w:hAnsi="Times New Roman" w:eastAsia="仿宋_GB2312"/>
          <w:b/>
          <w:sz w:val="32"/>
          <w:szCs w:val="32"/>
        </w:rPr>
        <w:t>：铜冶炼短流程高效综合利用技术研究</w:t>
      </w:r>
      <w:bookmarkEnd w:id="127"/>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子方向1：铜铅阳极泥协同处理多金属回收新技术与装备开发及产业化示范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铜阳极泥产出富含铅铋锑渣与铅阳极泥协同处理冶炼过程氧化还原气氛调控技术、高钡炉渣特性及杂质元素相间分配行为研究，冶炼过程有价/有害组元赋存状态及迁移规律研究；（2）旋转顶吹炉处理铅阳极泥过程热/动力学基础，冶炼过程基本工艺参数、炉渣特性及杂质元素相间分配行为研究，冶炼过程有价/有害组元赋存状态及迁移规律研究；（3）高铜贵铋连续真空蒸馏过程中温度场、铅铋银锑等元素相间分配行为、真空蒸馏过程金属相的浓度、粘度、温度等条件，金属元素真空挥发物相转变规律与存在形式；（4）在常规0.8m</w:t>
      </w:r>
      <w:r>
        <w:rPr>
          <w:rFonts w:ascii="Times New Roman" w:hAnsi="Times New Roman" w:eastAsia="仿宋_GB2312"/>
          <w:sz w:val="32"/>
          <w:szCs w:val="32"/>
          <w:vertAlign w:val="superscript"/>
        </w:rPr>
        <w:t>3</w:t>
      </w:r>
      <w:r>
        <w:rPr>
          <w:rFonts w:ascii="Times New Roman" w:hAnsi="Times New Roman" w:eastAsia="仿宋_GB2312"/>
          <w:sz w:val="32"/>
          <w:szCs w:val="32"/>
        </w:rPr>
        <w:t>、2m</w:t>
      </w:r>
      <w:r>
        <w:rPr>
          <w:rFonts w:ascii="Times New Roman" w:hAnsi="Times New Roman" w:eastAsia="仿宋_GB2312"/>
          <w:sz w:val="32"/>
          <w:szCs w:val="32"/>
          <w:vertAlign w:val="superscript"/>
        </w:rPr>
        <w:t>3</w:t>
      </w:r>
      <w:r>
        <w:rPr>
          <w:rFonts w:ascii="Times New Roman" w:hAnsi="Times New Roman" w:eastAsia="仿宋_GB2312"/>
          <w:sz w:val="32"/>
          <w:szCs w:val="32"/>
        </w:rPr>
        <w:t>规格标准处理铜阳极泥的旋转顶吹炉基础上开发出3.5m</w:t>
      </w:r>
      <w:r>
        <w:rPr>
          <w:rFonts w:ascii="Times New Roman" w:hAnsi="Times New Roman" w:eastAsia="仿宋_GB2312"/>
          <w:sz w:val="32"/>
          <w:szCs w:val="32"/>
          <w:vertAlign w:val="superscript"/>
        </w:rPr>
        <w:t>3</w:t>
      </w:r>
      <w:r>
        <w:rPr>
          <w:rFonts w:ascii="Times New Roman" w:hAnsi="Times New Roman" w:eastAsia="仿宋_GB2312"/>
          <w:sz w:val="32"/>
          <w:szCs w:val="32"/>
        </w:rPr>
        <w:t>规格的处理铜铅阳极泥物料特性的非标旋转顶吹炉装置；（5）在常规处理能力在10~12t/d的真空蒸馏炉基础上开发出处理能力在20~25t/d规格的高温真空蒸馏炉。</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 考核指标：（1）银回收率</w:t>
      </w:r>
      <w:r>
        <w:rPr>
          <w:rFonts w:hint="eastAsia" w:ascii="Times New Roman" w:hAnsi="Times New Roman" w:eastAsia="仿宋_GB2312"/>
          <w:sz w:val="32"/>
          <w:szCs w:val="32"/>
        </w:rPr>
        <w:t>&gt;</w:t>
      </w:r>
      <w:r>
        <w:rPr>
          <w:rFonts w:ascii="Times New Roman" w:hAnsi="Times New Roman" w:eastAsia="仿宋_GB2312"/>
          <w:sz w:val="32"/>
          <w:szCs w:val="32"/>
        </w:rPr>
        <w:t>99.5%，银直收率</w:t>
      </w:r>
      <w:r>
        <w:rPr>
          <w:rFonts w:hint="eastAsia" w:ascii="Times New Roman" w:hAnsi="Times New Roman" w:eastAsia="仿宋_GB2312"/>
          <w:sz w:val="32"/>
          <w:szCs w:val="32"/>
        </w:rPr>
        <w:t>&gt;</w:t>
      </w:r>
      <w:r>
        <w:rPr>
          <w:rFonts w:ascii="Times New Roman" w:hAnsi="Times New Roman" w:eastAsia="仿宋_GB2312"/>
          <w:sz w:val="32"/>
          <w:szCs w:val="32"/>
        </w:rPr>
        <w:t>95%；金回收率99.6%，金直收率</w:t>
      </w:r>
      <w:r>
        <w:rPr>
          <w:rFonts w:hint="eastAsia" w:ascii="Times New Roman" w:hAnsi="Times New Roman" w:eastAsia="仿宋_GB2312"/>
          <w:sz w:val="32"/>
          <w:szCs w:val="32"/>
        </w:rPr>
        <w:t>&gt;</w:t>
      </w:r>
      <w:r>
        <w:rPr>
          <w:rFonts w:ascii="Times New Roman" w:hAnsi="Times New Roman" w:eastAsia="仿宋_GB2312"/>
          <w:sz w:val="32"/>
          <w:szCs w:val="32"/>
        </w:rPr>
        <w:t>94.5%；（2）实现高品质中间品，贵铅含锑</w:t>
      </w:r>
      <w:r>
        <w:rPr>
          <w:rFonts w:hint="eastAsia" w:ascii="Times New Roman" w:hAnsi="Times New Roman" w:eastAsia="仿宋_GB2312"/>
          <w:sz w:val="32"/>
          <w:szCs w:val="32"/>
        </w:rPr>
        <w:t>&lt;</w:t>
      </w:r>
      <w:r>
        <w:rPr>
          <w:rFonts w:ascii="Times New Roman" w:hAnsi="Times New Roman" w:eastAsia="仿宋_GB2312"/>
          <w:sz w:val="32"/>
          <w:szCs w:val="32"/>
        </w:rPr>
        <w:t>5%；烟尘含银≤0.3%；富锑渣含锑</w:t>
      </w:r>
      <w:r>
        <w:rPr>
          <w:rFonts w:hint="eastAsia" w:ascii="Times New Roman" w:hAnsi="Times New Roman" w:eastAsia="仿宋_GB2312"/>
          <w:sz w:val="32"/>
          <w:szCs w:val="32"/>
        </w:rPr>
        <w:t>&gt;</w:t>
      </w:r>
      <w:r>
        <w:rPr>
          <w:rFonts w:ascii="Times New Roman" w:hAnsi="Times New Roman" w:eastAsia="仿宋_GB2312"/>
          <w:sz w:val="32"/>
          <w:szCs w:val="32"/>
        </w:rPr>
        <w:t>55%，银≤1500g/t；（3）研究揭示旋转顶吹炉铜铅阳极泥冶炼过程、连续真空蒸馏过程有价/有害组元赋存及迁移规律，明晰过程中金属元素</w:t>
      </w:r>
      <w:r>
        <w:rPr>
          <w:rFonts w:hint="eastAsia" w:ascii="Times New Roman" w:hAnsi="Times New Roman" w:eastAsia="仿宋_GB2312"/>
          <w:sz w:val="32"/>
          <w:szCs w:val="32"/>
        </w:rPr>
        <w:t>的</w:t>
      </w:r>
      <w:r>
        <w:rPr>
          <w:rFonts w:ascii="Times New Roman" w:hAnsi="Times New Roman" w:eastAsia="仿宋_GB2312"/>
          <w:sz w:val="32"/>
          <w:szCs w:val="32"/>
        </w:rPr>
        <w:t>元素存在形态及其演变规律，实现有价组分深度分离与可控提取核心技术；（4）建设处理能力达6000t/a铜阳极泥旋转顶吹炉、处理能力达11000t/a的铅阳极泥旋转顶吹炉与处理能力达7000t/a贵铋的连续真空蒸馏炉的产业化示范生产线1条；（5）项目实施期内，形成白银500t/a、黄金 2t/a，实现销售收入8亿元以上，利税2000万元；（6）通过对本项目的研究，</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授权发明专利3件以上；（7）全职引进或培养2名博士或1名正高级职称或2名副高级职称以上人才，培训技术人员200人次以上。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子方向2：热态铜冶炼炉渣贫化及有价金属综合回收的开发研究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铜冶炼渣各个形态下的物相组成；（2）研究热态铜冶炼炉渣贫化技术；（3）研究一套能用于铜冶炼渣还原提取有价金属的新型炉窑及附属装备；（4）研究对铜冶炼渣进行还原提铁、铜、镍的工艺技术；（5）研究铜冶炼渣含铅、锌等有价金属的综合回收；（6）研究铜冶炼渣还原提取有价金属后产生的二次渣的综合利用；（7）研究利用铜冶炼渣还原提取的铁、铜、镍合金，生产符合国标的耐磨铸铁或含铜不锈钢；（8）开展铜冶炼渣还原提铁工业示范线设计及建设。</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利用铜冶炼渣开展还原试验，产出含铜+铁+镍含量大于90%的合金；（2）利用铜冶炼炉渣生产出的铁合金，研发出符合国标的含铜耐磨合金、含铜抗菌不锈钢；（3）铜冶炼渣还原提铁产生的二次渣，生产出合格的岩棉，或作为水泥熟料的比例达到10%以上；（4）建设一条年处理热态铜冶炼渣10万吨的生产示范线，年新增产值2亿元以上，利税1500万元以上；（5）</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授权发明专利3件以上，制定国家标准/行业标准/企业标准1项以上；（6）通过项目实施培养一批技术骨干，其中工程师2名以上，高级工程师2名以上，硕士研究生2名以上，培训技术人员200人次以上。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28" w:name="_Toc83570504"/>
      <w:r>
        <w:rPr>
          <w:rFonts w:ascii="Times New Roman" w:hAnsi="Times New Roman" w:eastAsia="仿宋_GB2312"/>
          <w:b/>
          <w:sz w:val="32"/>
          <w:szCs w:val="32"/>
        </w:rPr>
        <w:t>方向</w:t>
      </w:r>
      <w:r>
        <w:rPr>
          <w:rFonts w:hint="eastAsia" w:ascii="Times New Roman" w:hAnsi="Times New Roman" w:eastAsia="仿宋_GB2312"/>
          <w:b/>
          <w:sz w:val="32"/>
          <w:szCs w:val="32"/>
        </w:rPr>
        <w:t>4</w:t>
      </w:r>
      <w:r>
        <w:rPr>
          <w:rFonts w:ascii="Times New Roman" w:hAnsi="Times New Roman" w:eastAsia="仿宋_GB2312"/>
          <w:b/>
          <w:sz w:val="32"/>
          <w:szCs w:val="32"/>
        </w:rPr>
        <w:t>：铟、锡、锑等多金属资源高效开发利用技术研究</w:t>
      </w:r>
      <w:bookmarkEnd w:id="128"/>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子方向1：复杂锡锌矿高效回收及危废资源化利用关键技术及示范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高砷复杂锡铅锌锑多金属矿物高效分离及源头降砷技术开发与应用；（2）含砷高硫难冶锡精矿高效综合回收技术开发与应用；（3）高含杂铟锌精矿湿法提取技术开发与应用；（4）锡锌精矿冶炼危废处置及资源化利用关键技术开发与应用；（5）高砷高硫锡铟锌多金属矿选冶关键技术集成与工程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锡锌精矿源头降砷降低50%以上；（2）含砷高硫锡精矿锡冶炼回收率≥97.2%、综合铅锑回收率≥96%，锡精炼砷铝渣减量≥50%；（3）锌冶炼回收率≥96%，铟冶炼回收率≥76%；（4）高砷高硫锡冶炼排放烟气中SO</w:t>
      </w:r>
      <w:r>
        <w:rPr>
          <w:rFonts w:ascii="Times New Roman" w:hAnsi="Times New Roman" w:eastAsia="仿宋_GB2312"/>
          <w:sz w:val="32"/>
          <w:szCs w:val="32"/>
          <w:vertAlign w:val="subscript"/>
        </w:rPr>
        <w:t>2</w:t>
      </w:r>
      <w:r>
        <w:rPr>
          <w:rFonts w:ascii="Times New Roman" w:hAnsi="Times New Roman" w:eastAsia="仿宋_GB2312"/>
          <w:sz w:val="32"/>
          <w:szCs w:val="32"/>
        </w:rPr>
        <w:t>浓度≤200mg/m</w:t>
      </w:r>
      <w:r>
        <w:rPr>
          <w:rFonts w:ascii="Times New Roman" w:hAnsi="Times New Roman" w:eastAsia="仿宋_GB2312"/>
          <w:sz w:val="32"/>
          <w:szCs w:val="32"/>
          <w:vertAlign w:val="superscript"/>
        </w:rPr>
        <w:t>3</w:t>
      </w:r>
      <w:r>
        <w:rPr>
          <w:rFonts w:ascii="Times New Roman" w:hAnsi="Times New Roman" w:eastAsia="仿宋_GB2312"/>
          <w:sz w:val="32"/>
          <w:szCs w:val="32"/>
        </w:rPr>
        <w:t>，烟气处理副产石膏符合《烟气脱硫石膏》（GB/T 37785-2019）二级品以上要求；（5）形成120万吨/年高砷锡锌多金属矿源头降砷和13万吨/年高砷高硫锡锌精矿高效回收及危废资源化利用示范工程，年新增产值3.5亿元以上，利税2000万元以上；（6）</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授权发明专利3件以上，制定国家标准/行业标准/企业标准2项以上；（7）全职引进或培养2名博士或1名正高级职称或2名副高级职称以上人才，培训技术人员200人次以上。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子方向2：锌高效绿色提取特大型装备与技术研究及产业化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复杂锌精矿氧压浸出过程的行为及铜铟深度分离技术与机理研究；（2）氧压浸出渣浮选分离及元素硫高值化工艺和机理研究；（3）锌氧压浸出过程仿真及多工序协同智能控制研究；（4）300kt/a 特大型锌氧压浸出设计集成及工程示范。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设计制造锌高效绿色提取特大型装备与工程示范，形成电锌300kt/a、硫磺120kt/a的产能，建成特大型高压釜及配套装备3台套；（2）主要金属回收率及产品要求：锌≥96%，铜≥80%，铟≥75%；锌锭含锌达99.995%；浮选分离硫精矿含硫≥75%；浮选尾矿含硫≤10%；硫磺产品含硫≥99.50%，达到GBT 2449.1-2014《工业硫磺第1部分固体产品》一等品要求；（3）年新增产值30亿元以上，利税1亿元以上；（4）</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授权发明专利3件以上，制定国家标准/行业标准/企业标准1项以上；（5）全职引进或培养2名博士或1名正高级职称或2名副高级职称以上人才，培训技术人员500人次以上。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29" w:name="_Toc83570505"/>
      <w:r>
        <w:rPr>
          <w:rFonts w:ascii="Times New Roman" w:hAnsi="Times New Roman" w:eastAsia="黑体"/>
          <w:kern w:val="0"/>
          <w:sz w:val="32"/>
          <w:szCs w:val="32"/>
        </w:rPr>
        <w:t>专题二：新型功能材料</w:t>
      </w:r>
      <w:bookmarkEnd w:id="129"/>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0" w:name="_Toc83570506"/>
      <w:r>
        <w:rPr>
          <w:rFonts w:ascii="Times New Roman" w:hAnsi="Times New Roman" w:eastAsia="仿宋_GB2312"/>
          <w:b/>
          <w:sz w:val="32"/>
          <w:szCs w:val="32"/>
        </w:rPr>
        <w:t>方向</w:t>
      </w:r>
      <w:r>
        <w:rPr>
          <w:rFonts w:hint="eastAsia" w:ascii="Times New Roman" w:hAnsi="Times New Roman" w:eastAsia="仿宋_GB2312"/>
          <w:b/>
          <w:sz w:val="32"/>
          <w:szCs w:val="32"/>
        </w:rPr>
        <w:t>5</w:t>
      </w:r>
      <w:r>
        <w:rPr>
          <w:rFonts w:ascii="Times New Roman" w:hAnsi="Times New Roman" w:eastAsia="仿宋_GB2312"/>
          <w:b/>
          <w:sz w:val="32"/>
          <w:szCs w:val="32"/>
        </w:rPr>
        <w:t>：高安全、高能量密度锂离子电池系统集成技术研究</w:t>
      </w:r>
      <w:bookmarkEnd w:id="130"/>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子方向1：高端基础锂盐关键技术研究及产业化</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综合除磁技术，降低单水氢氧化锂中磁性异物的含量，提高电池级单水氢氧化锂性能，实现在高镍三元电池中的应用；（2）通过一步法除钾技术、综合除钙技术，研究多体系络合除杂及深度净化分离技术，降低锂盐杂质含量，同时建立环保型分离技术，提高锂盐纯度和品质，同时降低生产成本；（3）研究低碳燃烧技术、酸化窑夹套加热技术、优化能源梯级利用等新技术，实现将低品位热源转化为高品质热源，节能环保；（4）将技术产业化，建立高品质单水氢氧化锂自动化生产线；（5）研发尾矿综合利用技术，探索特异性吸/脱附锂离子的吸附剂从低浓度溶液提锂的可能性，借助浓缩分离膜，在强酸以及浓盐环境中提取单水氢氧化锂，并从尾矿中分离出氧化铝和稀有金属钽铌。</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实现新能源汽车电池单体应用，电池级单水氢氧化锂中磁性异物含量≤30ppb；碳酸根离子≤0.30%/w，铁元素≤0.0002%/w，钙元素≤0.004%/w，钠元素、钾元素≤0.005%/w；（2）在锂离子浓度0.1~20ppm溶液中锂的收率达到99%；（3）建成2.5万吨/年的电池级单水氢氧化锂生产线1条，建成30万吨/年锂矿渣提炼有价金属综合利用示范装置1套，新增年产值8亿元以上，利税3000万元以上；（4）</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授权发明专利3件以上，制定国家标准/行业标准/企业标准1项以上；（5）全职引进或培养2名博士或1名正高级职称或2名副高级职称以上人才，培训技术人员240人次以上。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子方向2：高安全高比容量动力电池用高镍三元正极材料关键技术研究及产业化应用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连续式、间歇式合成制备高镍三元前驱体的研究；（2）研究不同主金属元素含量高镍三元前驱体最佳合成工艺；（3）高镍三元前驱体掺杂改性研究；（4）研究高镍三元前驱体比表面积影响机理；（5）高镍三元前驱体降低Na、S等杂质含量的后处理工艺研究；（6）研究锂配比及烧结工艺对高镍三元正极材料电化学性能影响；（7）研究Al</w:t>
      </w:r>
      <w:r>
        <w:rPr>
          <w:rFonts w:ascii="Times New Roman" w:hAnsi="Times New Roman" w:eastAsia="仿宋_GB2312"/>
          <w:sz w:val="32"/>
          <w:szCs w:val="32"/>
          <w:vertAlign w:val="subscript"/>
        </w:rPr>
        <w:t>2</w:t>
      </w:r>
      <w:r>
        <w:rPr>
          <w:rFonts w:ascii="Times New Roman" w:hAnsi="Times New Roman" w:eastAsia="仿宋_GB2312"/>
          <w:sz w:val="32"/>
          <w:szCs w:val="32"/>
        </w:rPr>
        <w:t>O</w:t>
      </w:r>
      <w:r>
        <w:rPr>
          <w:rFonts w:ascii="Times New Roman" w:hAnsi="Times New Roman" w:eastAsia="仿宋_GB2312"/>
          <w:sz w:val="32"/>
          <w:szCs w:val="32"/>
          <w:vertAlign w:val="subscript"/>
        </w:rPr>
        <w:t>3</w:t>
      </w:r>
      <w:r>
        <w:rPr>
          <w:rFonts w:ascii="Times New Roman" w:hAnsi="Times New Roman" w:eastAsia="仿宋_GB2312"/>
          <w:sz w:val="32"/>
          <w:szCs w:val="32"/>
        </w:rPr>
        <w:t>包覆改性对高镍三元正极材料晶体结构及电化学性能的影响；（8）产业化生产高镍三元正极材料工艺优化研究及应用示范；（9）基于高镍三元正极材料，应用于高比能量动力电池研究。</w:t>
      </w:r>
      <w:r>
        <w:rPr>
          <w:rFonts w:ascii="Times New Roman" w:hAnsi="Times New Roman" w:eastAsia="仿宋_GB2312"/>
          <w:sz w:val="32"/>
          <w:szCs w:val="32"/>
        </w:rPr>
        <w:cr/>
      </w: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考核指标：（1）D50：9±2μm、pH值：≤11.8、残碱：≤0.85%、粉体压实密度：≥3.5g/cm</w:t>
      </w:r>
      <w:r>
        <w:rPr>
          <w:rFonts w:ascii="Times New Roman" w:hAnsi="Times New Roman" w:eastAsia="仿宋_GB2312"/>
          <w:sz w:val="32"/>
          <w:szCs w:val="32"/>
          <w:vertAlign w:val="superscript"/>
        </w:rPr>
        <w:t>3</w:t>
      </w:r>
      <w:r>
        <w:rPr>
          <w:rFonts w:ascii="Times New Roman" w:hAnsi="Times New Roman" w:eastAsia="仿宋_GB2312"/>
          <w:sz w:val="32"/>
          <w:szCs w:val="32"/>
        </w:rPr>
        <w:t>、首次放电比容：≥225 mAh/g、首次充放电效率≥88%、0.5C放电容量≥200 mAh/g、1C放电容量≥198 mAh/g、扣式电池百周循环保持率：≥90%；（2）建成1条年产2.5万吨电池用高镍三元正极材料示范生产线，新增年产值20亿元以上，利税6000万以上；（3）应用于高比能量动力电池产品生产的高镍三元正极材料不少于1.5万吨；（4）</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授权发明专利3件以上，制定国家标准/行业标准/企业标准1项以上；（5）全职引进或培养2名博士或1名正高级职称或2名副高级职称以上人才，培训技术人员200人次以上。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子方向3：高镍材料锂离子电池制造工艺优化及电池生产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电极极片的制造研究。针对高镍(9系、低钴）锂电池材料，筛选正负极（硅碳）材料配方及打浆工艺；（2）电池隔膜的研究，电解液的研究提升电池的加工性及使用安全性；（3）电池化成工艺的优选和电池良品筛选。优化筛选后达到电池性能的设计要求（符合国际标准）；（4）锂电池生产线用设备的选型、调试及高镍锂离子电池的生产管控，使生产得锂离子电池，达到目标品质和目标生产能力。</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高镍锂离子电池指标：能量密度：≥260Wh/kg，常温循环600次，容量保持率≥80%；综合性能达到UL1642国际标准；（2）形成高镍锂离子电池年产能1.5亿Wh，新增年产值1亿元以上，利税2500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4）全职引进或培养2名博士或1名正高级职称或2名副高级职称以上人才，培训技术人员200人次以上；（5）建设行业内高镍材料使用技术交流中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子方向4：高性能磷酸铁锂电池技术开发与应用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磷酸铁锂电池关键电极材料的研制和匹配工作；（2）基于仿真分析推进电池设计多领域协同创新，全方位优化电芯结构，并克服生产制造工艺上的难点和盲区；（3）研究开发标准化模组，并进行系统轻量化及安全结构设计；（4）智能设备开发及自动化产线建设。</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高性能磷酸铁锂电芯能量密度≥180Wh/kg，标准化模组成组效率≥90%，系统成组效率≥70%，电池及系统安全性能符合国家标准；（2）项目实施期内，建成年产不低于5GWh的动力电池生产线，新增年产值30亿元以上，利税2亿元以上；（3）</w:t>
      </w:r>
      <w:r>
        <w:rPr>
          <w:rFonts w:hint="eastAsia" w:ascii="Times New Roman" w:hAnsi="Times New Roman" w:eastAsia="仿宋_GB2312"/>
          <w:sz w:val="32"/>
          <w:szCs w:val="32"/>
        </w:rPr>
        <w:t>获得</w:t>
      </w:r>
      <w:r>
        <w:rPr>
          <w:rFonts w:ascii="Times New Roman" w:hAnsi="Times New Roman" w:eastAsia="仿宋_GB2312"/>
          <w:sz w:val="32"/>
          <w:szCs w:val="32"/>
        </w:rPr>
        <w:t>授权</w:t>
      </w:r>
      <w:r>
        <w:rPr>
          <w:rFonts w:hint="eastAsia" w:ascii="Times New Roman" w:hAnsi="Times New Roman" w:eastAsia="仿宋_GB2312"/>
          <w:sz w:val="32"/>
          <w:szCs w:val="32"/>
        </w:rPr>
        <w:t>发</w:t>
      </w:r>
      <w:r>
        <w:rPr>
          <w:rFonts w:ascii="Times New Roman" w:hAnsi="Times New Roman" w:eastAsia="仿宋_GB2312"/>
          <w:sz w:val="32"/>
          <w:szCs w:val="32"/>
        </w:rPr>
        <w:t>明专利3件以上，制定国家标准/行业标准/企业标准2项以上；（4）全职引进或培养2名博士或1名正高级职称或2名副高级职称以上人才，培训技术人员200人次以上。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1" w:name="_Toc83570507"/>
      <w:r>
        <w:rPr>
          <w:rFonts w:ascii="Times New Roman" w:hAnsi="Times New Roman" w:eastAsia="仿宋_GB2312"/>
          <w:b/>
          <w:sz w:val="32"/>
          <w:szCs w:val="32"/>
        </w:rPr>
        <w:t>方向</w:t>
      </w:r>
      <w:r>
        <w:rPr>
          <w:rFonts w:hint="eastAsia" w:ascii="Times New Roman" w:hAnsi="Times New Roman" w:eastAsia="仿宋_GB2312"/>
          <w:b/>
          <w:sz w:val="32"/>
          <w:szCs w:val="32"/>
        </w:rPr>
        <w:t>6</w:t>
      </w:r>
      <w:r>
        <w:rPr>
          <w:rFonts w:ascii="Times New Roman" w:hAnsi="Times New Roman" w:eastAsia="仿宋_GB2312"/>
          <w:b/>
          <w:sz w:val="32"/>
          <w:szCs w:val="32"/>
        </w:rPr>
        <w:t>：高能量密度、高安全性全固态锂电池产业化技术研究</w:t>
      </w:r>
      <w:bookmarkEnd w:id="131"/>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子方向1：固态锂电池关键技术研究及产业化示范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固态锂电池复合正极活性物质、电解质、离子和电子传导介质的成分配比，开发高比容量正极；（2）研究高锂离子传导率电解质薄膜的制备方法，形成具有自主知识产权的核心技术；（3）研究与电解质薄膜电化学稳定性高的负极，开发固态电池薄膜负极制备技术；（4）研究固态锂电池产业化生产技术，示范固态电池批量生产。</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考核指标：（1）正极活物质比能量密度≥200mAh/g；（2）固态电解质薄膜室温锂离子传导率≥1×10</w:t>
      </w:r>
      <w:r>
        <w:rPr>
          <w:rFonts w:ascii="Times New Roman" w:hAnsi="Times New Roman" w:eastAsia="仿宋_GB2312"/>
          <w:sz w:val="32"/>
          <w:szCs w:val="32"/>
          <w:vertAlign w:val="superscript"/>
        </w:rPr>
        <w:t>-3</w:t>
      </w:r>
      <w:r>
        <w:rPr>
          <w:rFonts w:ascii="Times New Roman" w:hAnsi="Times New Roman" w:eastAsia="仿宋_GB2312"/>
          <w:sz w:val="32"/>
          <w:szCs w:val="32"/>
        </w:rPr>
        <w:t>S/cm；（3）固态电池单体电芯能量密度≥300Wh/kg；（4）固态电池容量≥10Ah，1C充放电条件下循环寿命≥1000次；（5）形成年产50MW固态电池产能；（6）新增年产值5000万元以上，利税500万元以上；（3）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授权发明专利3件以上，制定国家标准/行业标准/企业标准1项以上；（4）培养2名博士或1名正高级职称或2名副高级职称以上人才，培训技术人员100人次以上。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资助经费：不超过2500万元。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2" w:name="_Toc83570508"/>
      <w:r>
        <w:rPr>
          <w:rFonts w:ascii="Times New Roman" w:hAnsi="Times New Roman" w:eastAsia="仿宋_GB2312"/>
          <w:b/>
          <w:sz w:val="32"/>
          <w:szCs w:val="32"/>
        </w:rPr>
        <w:t>方向</w:t>
      </w:r>
      <w:r>
        <w:rPr>
          <w:rFonts w:hint="eastAsia" w:ascii="Times New Roman" w:hAnsi="Times New Roman" w:eastAsia="仿宋_GB2312"/>
          <w:b/>
          <w:sz w:val="32"/>
          <w:szCs w:val="32"/>
        </w:rPr>
        <w:t>7</w:t>
      </w:r>
      <w:r>
        <w:rPr>
          <w:rFonts w:ascii="Times New Roman" w:hAnsi="Times New Roman" w:eastAsia="仿宋_GB2312"/>
          <w:b/>
          <w:sz w:val="32"/>
          <w:szCs w:val="32"/>
        </w:rPr>
        <w:t>：高纯稀土及高性能稀土基新材料开发与应用研究</w:t>
      </w:r>
      <w:bookmarkEnd w:id="132"/>
    </w:p>
    <w:p>
      <w:pPr>
        <w:keepNext w:val="0"/>
        <w:keepLines w:val="0"/>
        <w:pageBreakBefore w:val="0"/>
        <w:widowControl w:val="0"/>
        <w:kinsoku/>
        <w:wordWrap/>
        <w:overflowPunct w:val="0"/>
        <w:topLinePunct w:val="0"/>
        <w:autoSpaceDE/>
        <w:autoSpaceDN/>
        <w:bidi w:val="0"/>
        <w:adjustRightInd/>
        <w:snapToGrid/>
        <w:spacing w:line="560" w:lineRule="exact"/>
        <w:ind w:firstLine="599" w:firstLineChars="200"/>
        <w:textAlignment w:val="auto"/>
        <w:outlineLvl w:val="3"/>
        <w:rPr>
          <w:rFonts w:ascii="Times New Roman" w:hAnsi="Times New Roman" w:eastAsia="仿宋_GB2312"/>
          <w:b/>
          <w:spacing w:val="-11"/>
          <w:sz w:val="32"/>
          <w:szCs w:val="32"/>
        </w:rPr>
      </w:pPr>
      <w:r>
        <w:rPr>
          <w:rFonts w:ascii="Times New Roman" w:hAnsi="Times New Roman" w:eastAsia="仿宋_GB2312"/>
          <w:b/>
          <w:spacing w:val="-11"/>
          <w:sz w:val="32"/>
          <w:szCs w:val="32"/>
        </w:rPr>
        <w:t>子方向1：高纯稀土、稀土靶材制备关键技术研究及应用示范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高纯和超高纯稀土化合物制备关键技术，重点研究高价值高纯稀土（铽、镝等，4-5N级）的分离萃取最佳工艺条件，开发超高纯稀土（6-7N级）进一步提纯的核心工艺技术；（2）开发高纯稀土金属（4-5级）制备的核心技术及装备，探索熔炼电解和真空熔炼核心技术工艺；（3）研究稀土合金熔炼和氧化物粉末烧结制备靶材原材料工艺研究，制备高均质高纯度、高致密度、晶粒尺寸和组织均匀性可控的稀土材料靶材；（4）稳定批量生产出高纯稀土、高性能稀土靶材新产品，并形成新的示范线。</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w:t>
      </w:r>
      <w:r>
        <w:rPr>
          <w:rFonts w:hint="eastAsia" w:ascii="Times New Roman" w:hAnsi="Times New Roman" w:eastAsia="仿宋_GB2312"/>
          <w:sz w:val="32"/>
          <w:szCs w:val="32"/>
        </w:rPr>
        <w:t>4N级氧化铽、镝、镥等产品纯度≥99.99%、6N级镧、铈、钇等产品纯度≥99.999%；稀土金属纯度≥ 99.99%；靶材中稀土纯度≥ 99.99%、晶粒尺寸≤100</w:t>
      </w:r>
      <w:r>
        <w:rPr>
          <w:rFonts w:ascii="Times New Roman" w:hAnsi="Times New Roman" w:eastAsia="仿宋_GB2312"/>
          <w:sz w:val="32"/>
          <w:szCs w:val="32"/>
        </w:rPr>
        <w:t>μ</w:t>
      </w:r>
      <w:r>
        <w:rPr>
          <w:rFonts w:hint="eastAsia" w:ascii="Times New Roman" w:hAnsi="Times New Roman" w:eastAsia="仿宋_GB2312"/>
          <w:sz w:val="32"/>
          <w:szCs w:val="32"/>
        </w:rPr>
        <w:t>m，相对密度≥99%，表面粗糙度≤0.8</w:t>
      </w:r>
      <w:r>
        <w:rPr>
          <w:rFonts w:ascii="Times New Roman" w:hAnsi="Times New Roman" w:eastAsia="仿宋_GB2312"/>
          <w:sz w:val="32"/>
          <w:szCs w:val="32"/>
        </w:rPr>
        <w:t>μ</w:t>
      </w:r>
      <w:r>
        <w:rPr>
          <w:rFonts w:hint="eastAsia" w:ascii="Times New Roman" w:hAnsi="Times New Roman" w:eastAsia="仿宋_GB2312"/>
          <w:sz w:val="32"/>
          <w:szCs w:val="32"/>
        </w:rPr>
        <w:t>m；（2）建成示范线4条，即年产50吨高价值4N级高纯稀土（铽、镝）萃取分离示范线、年产5吨高价值6N级超高纯稀土化合物示范线、年产10吨高纯稀土金属示范线，以及年产稀土靶材5000 块新产品示范线各1条，新增年产值6000万元以上，利税1000万元以上；</w:t>
      </w:r>
      <w:r>
        <w:rPr>
          <w:rFonts w:ascii="Times New Roman" w:hAnsi="Times New Roman" w:eastAsia="仿宋_GB2312"/>
          <w:sz w:val="32"/>
          <w:szCs w:val="32"/>
        </w:rPr>
        <w:t>（3）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授权发明专利3件以上，制定国家标准/行业标准/企业标准1项以上；（4）培养2名博士或1名正高级职称或2名副高级职称以上人才，培训技术人员200人次以上。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40" w:lineRule="exact"/>
        <w:ind w:firstLine="643" w:firstLineChars="200"/>
        <w:textAlignment w:val="auto"/>
        <w:outlineLvl w:val="3"/>
        <w:rPr>
          <w:rFonts w:ascii="Times New Roman" w:hAnsi="Times New Roman" w:eastAsia="仿宋_GB2312"/>
          <w:b/>
          <w:sz w:val="32"/>
          <w:szCs w:val="32"/>
        </w:rPr>
      </w:pPr>
      <w:r>
        <w:rPr>
          <w:rFonts w:ascii="Times New Roman" w:hAnsi="Times New Roman" w:eastAsia="仿宋_GB2312"/>
          <w:b/>
          <w:sz w:val="32"/>
          <w:szCs w:val="32"/>
        </w:rPr>
        <w:t>子方向2：高性能稀土铝合金乘用车轮毂应用技术研究及产业化</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1）研究低成本高性能稀土（镧、铈、铒、钇等元素）铝中间合金新产品新技术；（2）研究稀土铝合金直接添加熔融电解铝液的熔炼关键技术及制备高性能铸件的核心工艺，重点研究合金成份材质对铸件金相、结构、材质性能等影响，探索铸件内部金相组织致密性、重量轻、强度高等最佳熔炼条件；（3）研究</w:t>
      </w:r>
      <w:r>
        <w:rPr>
          <w:rFonts w:hint="eastAsia" w:ascii="Times New Roman" w:hAnsi="Times New Roman" w:eastAsia="仿宋_GB2312"/>
          <w:sz w:val="32"/>
          <w:szCs w:val="32"/>
        </w:rPr>
        <w:t>乘</w:t>
      </w:r>
      <w:r>
        <w:rPr>
          <w:rFonts w:ascii="Times New Roman" w:hAnsi="Times New Roman" w:eastAsia="仿宋_GB2312"/>
          <w:sz w:val="32"/>
          <w:szCs w:val="32"/>
        </w:rPr>
        <w:t>用车载轮毂的低压铸造新工艺，开发提高铸件强度高、密度均匀、质量轻、机加工余量很小、金属材料利用率高的新工艺技术。</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1）开发3种以上（镧、铒、钇等）成套低成本、高性能稀土铝中间合金材料；车载轮毂抗拉强度≥320MPa，屈服强度≥240MPa，伸长率≥7%；车轮动态弯曲疲劳性能、动态径向疲劳性能及冲击性能优于汽车轮安全性能要求（GB36581-2018）；生产出低成本高强度稀土铝合金轮毂，较普通铝合金轮毂重量减轻5~8%；（2）建成5000吨/年稀土铝合金示范线、20000吨/年合金锭铸件生产线及20万只/年</w:t>
      </w:r>
      <w:r>
        <w:rPr>
          <w:rFonts w:hint="eastAsia" w:ascii="Times New Roman" w:hAnsi="Times New Roman" w:eastAsia="仿宋_GB2312"/>
          <w:sz w:val="32"/>
          <w:szCs w:val="32"/>
        </w:rPr>
        <w:t>乘</w:t>
      </w:r>
      <w:r>
        <w:rPr>
          <w:rFonts w:ascii="Times New Roman" w:hAnsi="Times New Roman" w:eastAsia="仿宋_GB2312"/>
          <w:sz w:val="32"/>
          <w:szCs w:val="32"/>
        </w:rPr>
        <w:t>用车轮毂的示范生产线各1条，新增年产值2亿元以上，利税1000万元以上；（3）</w:t>
      </w:r>
      <w:r>
        <w:rPr>
          <w:rFonts w:hint="eastAsia" w:ascii="Times New Roman" w:hAnsi="Times New Roman" w:eastAsia="仿宋_GB2312"/>
          <w:sz w:val="32"/>
          <w:szCs w:val="32"/>
        </w:rPr>
        <w:t>获得</w:t>
      </w:r>
      <w:r>
        <w:rPr>
          <w:rFonts w:ascii="Times New Roman" w:hAnsi="Times New Roman" w:eastAsia="仿宋_GB2312"/>
          <w:sz w:val="32"/>
          <w:szCs w:val="32"/>
        </w:rPr>
        <w:t>授权发明专利3件以上，制定国家标准/行业标准/企业标准1项以上；（4）培养2名博士或1名正高级职称或2名副高级职称以上人才，培训技术人员200人次以上。</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资助经费：500万元—1500万元。</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仿宋_GB2312"/>
          <w:b/>
          <w:kern w:val="0"/>
          <w:sz w:val="32"/>
          <w:szCs w:val="32"/>
        </w:rPr>
      </w:pPr>
      <w:r>
        <w:rPr>
          <w:rFonts w:ascii="Times New Roman" w:hAnsi="Times New Roman" w:eastAsia="仿宋_GB2312"/>
          <w:b/>
          <w:kern w:val="0"/>
          <w:sz w:val="32"/>
          <w:szCs w:val="32"/>
        </w:rPr>
        <w:br w:type="page"/>
      </w:r>
      <w:bookmarkStart w:id="133" w:name="_Toc83570509"/>
      <w:bookmarkStart w:id="134" w:name="_Hlk81664914"/>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仿宋_GB2312"/>
          <w:b/>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olor w:val="000000"/>
          <w:kern w:val="0"/>
          <w:sz w:val="44"/>
          <w:szCs w:val="44"/>
        </w:rPr>
      </w:pPr>
      <w:r>
        <w:rPr>
          <w:rFonts w:hint="eastAsia" w:ascii="Times New Roman" w:hAnsi="Times New Roman" w:eastAsia="方正小标宋简体"/>
          <w:color w:val="000000"/>
          <w:kern w:val="0"/>
          <w:sz w:val="44"/>
          <w:szCs w:val="44"/>
        </w:rPr>
        <w:t>生物医药创制专项</w:t>
      </w:r>
      <w:bookmarkEnd w:id="133"/>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hint="eastAsia" w:ascii="Times New Roman" w:hAnsi="Times New Roman" w:eastAsia="方正小标宋简体"/>
          <w:color w:val="000000"/>
          <w:kern w:val="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35" w:name="_Toc83570510"/>
      <w:r>
        <w:rPr>
          <w:rFonts w:ascii="Times New Roman" w:hAnsi="Times New Roman" w:eastAsia="黑体"/>
          <w:kern w:val="0"/>
          <w:sz w:val="32"/>
          <w:szCs w:val="32"/>
        </w:rPr>
        <w:t>专题一：中药民族药全产业链技术研究与大健康产品开发</w:t>
      </w:r>
      <w:bookmarkEnd w:id="13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6" w:name="_Toc83570511"/>
      <w:r>
        <w:rPr>
          <w:rFonts w:ascii="Times New Roman" w:hAnsi="Times New Roman" w:eastAsia="仿宋_GB2312"/>
          <w:b/>
          <w:sz w:val="32"/>
          <w:szCs w:val="32"/>
        </w:rPr>
        <w:t>方向</w:t>
      </w:r>
      <w:r>
        <w:rPr>
          <w:rFonts w:hint="eastAsia" w:ascii="Times New Roman" w:hAnsi="Times New Roman" w:eastAsia="仿宋_GB2312"/>
          <w:b/>
          <w:sz w:val="32"/>
          <w:szCs w:val="32"/>
        </w:rPr>
        <w:t>1</w:t>
      </w:r>
      <w:r>
        <w:rPr>
          <w:rFonts w:ascii="Times New Roman" w:hAnsi="Times New Roman" w:eastAsia="仿宋_GB2312"/>
          <w:b/>
          <w:sz w:val="32"/>
          <w:szCs w:val="32"/>
        </w:rPr>
        <w:t>：“桂十味”和“区域特色”等广西特色药材高质量生产关键技术及系列产品开发研究</w:t>
      </w:r>
      <w:bookmarkEnd w:id="136"/>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w:t>
      </w:r>
      <w:r>
        <w:rPr>
          <w:rFonts w:ascii="Times New Roman" w:hAnsi="Times New Roman" w:eastAsia="仿宋_GB2312"/>
          <w:bCs/>
          <w:sz w:val="32"/>
          <w:szCs w:val="32"/>
        </w:rPr>
        <w:t>：针对药材优良品种及优质种苗缺乏、种质退化，生产技术落后、不规范、采收加工标准缺乏，以及农药和生长调节剂滥用造成药材质量不稳定等问题以及产品开发的功能评价、产品制备工艺研究与质量标准建立、物质基础研究及安全性评价等问题，支持“桂十味”和“区域特色”等广西道地药材的高质量药材产品关键技术及系列产品开发研究</w:t>
      </w:r>
      <w:bookmarkStart w:id="137" w:name="_Hlk81648883"/>
      <w:r>
        <w:rPr>
          <w:rFonts w:ascii="Times New Roman" w:hAnsi="Times New Roman" w:eastAsia="仿宋_GB2312"/>
          <w:bCs/>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w:t>
      </w:r>
      <w:r>
        <w:rPr>
          <w:rFonts w:ascii="Times New Roman" w:hAnsi="Times New Roman" w:eastAsia="仿宋_GB2312"/>
          <w:bCs/>
          <w:sz w:val="32"/>
          <w:szCs w:val="32"/>
        </w:rPr>
        <w:t>选育或改良“桂十味”和“区域特色”中5个以上药材优良品种，研究解决8项技术难题，每个品种建设优良品种示范基地1个以上，每个基地不小于1000亩，获得发明专利1件以上；配套完成3个以上大健康产品的研究（至少有1项是保健产品），获得生产批文并完成产业化，产品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bookmarkEnd w:id="137"/>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8" w:name="_Toc83570512"/>
      <w:r>
        <w:rPr>
          <w:rFonts w:ascii="Times New Roman" w:hAnsi="Times New Roman" w:eastAsia="仿宋_GB2312"/>
          <w:b/>
          <w:sz w:val="32"/>
          <w:szCs w:val="32"/>
        </w:rPr>
        <w:t>方向</w:t>
      </w:r>
      <w:r>
        <w:rPr>
          <w:rFonts w:hint="eastAsia" w:ascii="Times New Roman" w:hAnsi="Times New Roman" w:eastAsia="仿宋_GB2312"/>
          <w:b/>
          <w:sz w:val="32"/>
          <w:szCs w:val="32"/>
        </w:rPr>
        <w:t>2</w:t>
      </w:r>
      <w:r>
        <w:rPr>
          <w:rFonts w:ascii="Times New Roman" w:hAnsi="Times New Roman" w:eastAsia="仿宋_GB2312"/>
          <w:b/>
          <w:sz w:val="32"/>
          <w:szCs w:val="32"/>
        </w:rPr>
        <w:t>：壮瑶药材品种整理及质量标准提升与产品开发研究</w:t>
      </w:r>
      <w:bookmarkEnd w:id="138"/>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壮瑶药材中品种混乱、繁育栽培困难、质量评价不科学、产品开发深度不够等关键问题，支持开展区域特色壮瑶药材的品种整理、良种选育栽培、质量标准提升、产品开发的全产业链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确定与临床应用相应的品种基源，制定正品质量标准及选育栽培技术规程，完成3个以上壮瑶药方剂或健康产品的研发，获得广西医疗机构制剂备案号或相应的健康产品批准生产证书，完成5个以上壮瑶药材品种整理并制定标准5件以上及3个以上壮瑶药材品种的生态种植各100亩以上。获得3个以上发明专利，产品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w:t>
      </w:r>
      <w:r>
        <w:rPr>
          <w:rFonts w:hint="eastAsia" w:ascii="Times New Roman" w:hAnsi="Times New Roman" w:eastAsia="仿宋_GB2312"/>
          <w:sz w:val="32"/>
          <w:szCs w:val="32"/>
        </w:rPr>
        <w:t>—</w:t>
      </w:r>
      <w:r>
        <w:rPr>
          <w:rFonts w:ascii="Times New Roman" w:hAnsi="Times New Roman" w:eastAsia="仿宋_GB2312"/>
          <w:sz w:val="32"/>
          <w:szCs w:val="32"/>
        </w:rPr>
        <w:t>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相关说明：本方向以公开择优方式遴选项目。申报单位应具有较强的科研开发实力和研究基础，鼓励高校、科研院所与医疗机构等组成产学研团队联合申报。财政科技下达企业的经费企业须按（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39" w:name="_Toc83570513"/>
      <w:r>
        <w:rPr>
          <w:rFonts w:ascii="Times New Roman" w:hAnsi="Times New Roman" w:eastAsia="仿宋_GB2312"/>
          <w:b/>
          <w:sz w:val="32"/>
          <w:szCs w:val="32"/>
        </w:rPr>
        <w:t>方向</w:t>
      </w:r>
      <w:r>
        <w:rPr>
          <w:rFonts w:hint="eastAsia" w:ascii="Times New Roman" w:hAnsi="Times New Roman" w:eastAsia="仿宋_GB2312"/>
          <w:b/>
          <w:sz w:val="32"/>
          <w:szCs w:val="32"/>
        </w:rPr>
        <w:t>3</w:t>
      </w:r>
      <w:r>
        <w:rPr>
          <w:rFonts w:ascii="Times New Roman" w:hAnsi="Times New Roman" w:eastAsia="仿宋_GB2312"/>
          <w:b/>
          <w:sz w:val="32"/>
          <w:szCs w:val="32"/>
        </w:rPr>
        <w:t>：桂产特色中药材配方颗粒制备工艺与质量标准及产品开发研究</w:t>
      </w:r>
      <w:bookmarkEnd w:id="139"/>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主要研究开发内容：针对桂产中药材饮片配方颗粒生产加工工艺技术、质量标准研究、产品质量评价体系建立等方面的问题，支持桂产中药材饮片配方颗粒制备工艺与质量标准提升及产品开发研究。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建立80种桂产特色中药材饮片配方颗粒生产工艺规程与质量标准体系，完成80种桂产中药材饮片配方颗粒产品的开发，并形成稳定的生产工艺规程及产品上市销售。获发明专利授权3件以上，产品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40" w:name="_Toc83570514"/>
      <w:r>
        <w:rPr>
          <w:rFonts w:ascii="Times New Roman" w:hAnsi="Times New Roman" w:eastAsia="仿宋_GB2312"/>
          <w:b/>
          <w:sz w:val="32"/>
          <w:szCs w:val="32"/>
        </w:rPr>
        <w:t>方向</w:t>
      </w:r>
      <w:r>
        <w:rPr>
          <w:rFonts w:hint="eastAsia" w:ascii="Times New Roman" w:hAnsi="Times New Roman" w:eastAsia="仿宋_GB2312"/>
          <w:b/>
          <w:sz w:val="32"/>
          <w:szCs w:val="32"/>
        </w:rPr>
        <w:t>4</w:t>
      </w:r>
      <w:r>
        <w:rPr>
          <w:rFonts w:ascii="Times New Roman" w:hAnsi="Times New Roman" w:eastAsia="仿宋_GB2312"/>
          <w:b/>
          <w:sz w:val="32"/>
          <w:szCs w:val="32"/>
        </w:rPr>
        <w:t>：药食同源（两用）植物资源深度挖掘及康旅融合产业化示范</w:t>
      </w:r>
      <w:bookmarkEnd w:id="140"/>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广西特色药食同源（两用）药材优质种质资源缺乏、种植与开发利用深度和广度不足、与康旅文化融合不够等技术瓶颈，支持深度挖掘并筛选其优良种质，完善保存体系，创新种苗繁育技术和立体生态种植技术，研制和开发适合健康旅游、养生养老所需的食疗保健的地方特色食品、特殊用途化妆品、康复用品等大健康产品</w:t>
      </w:r>
      <w:bookmarkStart w:id="141" w:name="_Hlk81662856"/>
      <w:r>
        <w:rPr>
          <w:rFonts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建立以种质保育与生态种植模式展示、技术培训、科普教育、膳食与大健康产品体验、休闲旅游为一体的产业化示范基地1个，面积3000亩以上。建成大健康产品生产线1条，获发明专利授权5件以上，获得5个以上大健康产品</w:t>
      </w:r>
      <w:r>
        <w:rPr>
          <w:rFonts w:ascii="Times New Roman" w:hAnsi="Times New Roman" w:eastAsia="仿宋_GB2312"/>
          <w:bCs/>
          <w:sz w:val="32"/>
          <w:szCs w:val="32"/>
        </w:rPr>
        <w:t>（至少有1个是保健产品）生产批件</w:t>
      </w:r>
      <w:r>
        <w:rPr>
          <w:rFonts w:ascii="Times New Roman" w:hAnsi="Times New Roman" w:eastAsia="仿宋_GB2312"/>
          <w:sz w:val="32"/>
          <w:szCs w:val="32"/>
        </w:rPr>
        <w:t>，年产值3000万元以上。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bookmarkEnd w:id="134"/>
    <w:bookmarkEnd w:id="141"/>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42" w:name="_Toc83570515"/>
      <w:bookmarkStart w:id="143" w:name="_Hlk81664984"/>
      <w:r>
        <w:rPr>
          <w:rFonts w:ascii="Times New Roman" w:hAnsi="Times New Roman" w:eastAsia="黑体"/>
          <w:kern w:val="0"/>
          <w:sz w:val="32"/>
          <w:szCs w:val="32"/>
        </w:rPr>
        <w:t>专题</w:t>
      </w:r>
      <w:r>
        <w:rPr>
          <w:rFonts w:hint="eastAsia" w:ascii="Times New Roman" w:hAnsi="Times New Roman" w:eastAsia="黑体"/>
          <w:kern w:val="0"/>
          <w:sz w:val="32"/>
          <w:szCs w:val="32"/>
        </w:rPr>
        <w:t>2</w:t>
      </w:r>
      <w:r>
        <w:rPr>
          <w:rFonts w:ascii="Times New Roman" w:hAnsi="Times New Roman" w:eastAsia="黑体"/>
          <w:kern w:val="0"/>
          <w:sz w:val="32"/>
          <w:szCs w:val="32"/>
        </w:rPr>
        <w:t>：中药民族药新药创制及二次开发</w:t>
      </w:r>
      <w:bookmarkEnd w:id="142"/>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44" w:name="_Toc83570516"/>
      <w:r>
        <w:rPr>
          <w:rFonts w:ascii="Times New Roman" w:hAnsi="Times New Roman" w:eastAsia="仿宋_GB2312"/>
          <w:b/>
          <w:sz w:val="32"/>
          <w:szCs w:val="32"/>
        </w:rPr>
        <w:t>方向</w:t>
      </w:r>
      <w:r>
        <w:rPr>
          <w:rFonts w:hint="eastAsia" w:ascii="Times New Roman" w:hAnsi="Times New Roman" w:eastAsia="仿宋_GB2312"/>
          <w:b/>
          <w:sz w:val="32"/>
          <w:szCs w:val="32"/>
        </w:rPr>
        <w:t>5</w:t>
      </w:r>
      <w:r>
        <w:rPr>
          <w:rFonts w:ascii="Times New Roman" w:hAnsi="Times New Roman" w:eastAsia="仿宋_GB2312"/>
          <w:b/>
          <w:sz w:val="32"/>
          <w:szCs w:val="32"/>
        </w:rPr>
        <w:t>：中药民族药创新药产品开发研究</w:t>
      </w:r>
      <w:bookmarkEnd w:id="144"/>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中药民族药新药开发面临的临床疗效评价、制备工艺优化、质量标准建立、药效评价方法、物质基础研究、安全性评价等问题，支持以临床价值导向的中药复方创新药开发，支持依托单一植物、动物、矿物的提取物及其制剂、化学类1类新药开发，支持尚未有法定药材标准的新药材及其制剂新药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考核指标：完成1个以上中药新药临床研究、完成新药上市许可注册获得生产批件并完成产业化，获得发明专利1件以上。产品上市后预计年产值3000万元以上。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项目至少已进入II期临床研究（提供相关证明材料）。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45" w:name="_Toc83570517"/>
      <w:r>
        <w:rPr>
          <w:rFonts w:ascii="Times New Roman" w:hAnsi="Times New Roman" w:eastAsia="仿宋_GB2312"/>
          <w:b/>
          <w:sz w:val="32"/>
          <w:szCs w:val="32"/>
        </w:rPr>
        <w:t>方向</w:t>
      </w:r>
      <w:r>
        <w:rPr>
          <w:rFonts w:hint="eastAsia" w:ascii="Times New Roman" w:hAnsi="Times New Roman" w:eastAsia="仿宋_GB2312"/>
          <w:b/>
          <w:sz w:val="32"/>
          <w:szCs w:val="32"/>
        </w:rPr>
        <w:t>6</w:t>
      </w:r>
      <w:r>
        <w:rPr>
          <w:rFonts w:ascii="Times New Roman" w:hAnsi="Times New Roman" w:eastAsia="仿宋_GB2312"/>
          <w:b/>
          <w:sz w:val="32"/>
          <w:szCs w:val="32"/>
        </w:rPr>
        <w:t>：古代经典名方新药及医疗机构制剂的开发研究</w:t>
      </w:r>
      <w:bookmarkEnd w:id="145"/>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经典名方开发面临的药材溯源/基源考证、制法用法、物质基准、用法用量、安全性评价等关键问题，支持《古代经典名方目录》收录的中药复方制剂开发，支持其他来源于古代经典名方的中药复方制剂开发，支持国医大师、名老中医临床验方的中药复方制剂开发，支持医疗机构制剂的产品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在研究开发中融入多学科前沿技术，解决物质基准评控体系、制剂工艺、稳定性、安全性等核心技术难题，完成2个以上经典名方的系统研发，向国家药品审评中心提交申报资料并获受理号；或完成10个以上医疗机构制剂的产品开发，获得医疗机构制剂的备案号10个以上。产品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或医疗机构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46" w:name="_Toc83570518"/>
      <w:r>
        <w:rPr>
          <w:rFonts w:ascii="Times New Roman" w:hAnsi="Times New Roman" w:eastAsia="仿宋_GB2312"/>
          <w:b/>
          <w:sz w:val="32"/>
          <w:szCs w:val="32"/>
        </w:rPr>
        <w:t>方向</w:t>
      </w:r>
      <w:r>
        <w:rPr>
          <w:rFonts w:hint="eastAsia" w:ascii="Times New Roman" w:hAnsi="Times New Roman" w:eastAsia="仿宋_GB2312"/>
          <w:b/>
          <w:sz w:val="32"/>
          <w:szCs w:val="32"/>
        </w:rPr>
        <w:t>7</w:t>
      </w:r>
      <w:r>
        <w:rPr>
          <w:rFonts w:ascii="Times New Roman" w:hAnsi="Times New Roman" w:eastAsia="仿宋_GB2312"/>
          <w:b/>
          <w:sz w:val="32"/>
          <w:szCs w:val="32"/>
        </w:rPr>
        <w:t>：优势中成药新增适应症及质量标准提升研究</w:t>
      </w:r>
      <w:bookmarkEnd w:id="146"/>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bCs/>
          <w:sz w:val="32"/>
          <w:szCs w:val="32"/>
        </w:rPr>
        <w:t>1</w:t>
      </w:r>
      <w:r>
        <w:rPr>
          <w:rFonts w:ascii="Times New Roman" w:hAnsi="Times New Roman" w:eastAsia="仿宋_GB2312"/>
          <w:b/>
          <w:bCs/>
          <w:sz w:val="32"/>
          <w:szCs w:val="32"/>
        </w:rPr>
        <w:t>.</w:t>
      </w:r>
      <w:r>
        <w:rPr>
          <w:rFonts w:hint="eastAsia" w:ascii="Times New Roman" w:hAnsi="Times New Roman" w:eastAsia="仿宋_GB2312"/>
          <w:b/>
          <w:bCs/>
          <w:sz w:val="32"/>
          <w:szCs w:val="32"/>
        </w:rPr>
        <w:t xml:space="preserve"> </w:t>
      </w:r>
      <w:r>
        <w:rPr>
          <w:rFonts w:ascii="Times New Roman" w:hAnsi="Times New Roman" w:eastAsia="仿宋_GB2312"/>
          <w:sz w:val="32"/>
          <w:szCs w:val="32"/>
        </w:rPr>
        <w:t>主要研究开发内容：针对药效学评价技术、临床诊疗方案及质量标准提升等关键技术难题，支持依据优势中成药在临床使用过程中拓展的临床适应症开展新增适应症相应药效学及质量标准提升研究。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考核指标：申报并获得中药改良型新药生产批件1个以上，完成修订质量标准的补充注册申请并获得批准，获得发明专利授权1件以上，项目实施期内产品销售新增40%以上。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47" w:name="_Toc83570519"/>
      <w:r>
        <w:rPr>
          <w:rFonts w:ascii="Times New Roman" w:hAnsi="Times New Roman" w:eastAsia="仿宋_GB2312"/>
          <w:b/>
          <w:sz w:val="32"/>
          <w:szCs w:val="32"/>
        </w:rPr>
        <w:t>方向</w:t>
      </w:r>
      <w:r>
        <w:rPr>
          <w:rFonts w:hint="eastAsia" w:ascii="Times New Roman" w:hAnsi="Times New Roman" w:eastAsia="仿宋_GB2312"/>
          <w:b/>
          <w:sz w:val="32"/>
          <w:szCs w:val="32"/>
        </w:rPr>
        <w:t>8</w:t>
      </w:r>
      <w:r>
        <w:rPr>
          <w:rFonts w:ascii="Times New Roman" w:hAnsi="Times New Roman" w:eastAsia="仿宋_GB2312"/>
          <w:b/>
          <w:sz w:val="32"/>
          <w:szCs w:val="32"/>
        </w:rPr>
        <w:t>：优势中成药新剂型与新给药途径及新技术开发研究</w:t>
      </w:r>
      <w:bookmarkEnd w:id="14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w:t>
      </w:r>
      <w:r>
        <w:rPr>
          <w:rFonts w:ascii="Times New Roman" w:hAnsi="Times New Roman" w:eastAsia="仿宋_GB2312"/>
          <w:bCs/>
          <w:sz w:val="32"/>
          <w:szCs w:val="32"/>
        </w:rPr>
        <w:t>优先选择具有较好临床应用价值的优势品种，重点解决新剂型与新给药途径的合理性、制剂处方筛选、制备工艺、质量标准、稳定性考察及药效学、非临床安全性、临床试验等技术难题。支持应用体现临床应用优势和特点的新剂型开展已上市中成药品种的改变剂型或改变给药途径的研究，支持运用符合产品特点的新技术、新工艺开展已上市中成药工艺变更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1个以上品种改变剂型或改变给药途径的改良型新药研究，获得中药改良型新药生产批件1个以上；申请生产工艺或辅料变更研究的品种，根据具体情况要求获得补充申请批件或备案号1个以上；获得授权发明专利1件以上，项目实施期内产品销售新增40%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bookmarkEnd w:id="143"/>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48" w:name="_Toc83570520"/>
      <w:bookmarkStart w:id="149" w:name="_Hlk81665038"/>
      <w:r>
        <w:rPr>
          <w:rFonts w:ascii="Times New Roman" w:hAnsi="Times New Roman" w:eastAsia="黑体"/>
          <w:kern w:val="0"/>
          <w:sz w:val="32"/>
          <w:szCs w:val="32"/>
        </w:rPr>
        <w:t>专题</w:t>
      </w:r>
      <w:r>
        <w:rPr>
          <w:rFonts w:hint="eastAsia" w:ascii="Times New Roman" w:hAnsi="Times New Roman" w:eastAsia="黑体"/>
          <w:kern w:val="0"/>
          <w:sz w:val="32"/>
          <w:szCs w:val="32"/>
        </w:rPr>
        <w:t>3</w:t>
      </w:r>
      <w:r>
        <w:rPr>
          <w:rFonts w:ascii="Times New Roman" w:hAnsi="Times New Roman" w:eastAsia="黑体"/>
          <w:kern w:val="0"/>
          <w:sz w:val="32"/>
          <w:szCs w:val="32"/>
        </w:rPr>
        <w:t>：化学药物与生物制品研究与产品开发</w:t>
      </w:r>
      <w:bookmarkEnd w:id="148"/>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0" w:name="_Toc83570521"/>
      <w:r>
        <w:rPr>
          <w:rFonts w:ascii="Times New Roman" w:hAnsi="Times New Roman" w:eastAsia="仿宋_GB2312"/>
          <w:b/>
          <w:sz w:val="32"/>
          <w:szCs w:val="32"/>
        </w:rPr>
        <w:t>方向9：化学创新药产品开发研究</w:t>
      </w:r>
      <w:bookmarkEnd w:id="150"/>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重点解决药物设计、新靶点、新作用机制、多靶标、化合物筛选优化、工艺研发、临床前评价、临床评价和上市后临床价值评价等技术关键问题。支持针对危害我国人民健康的10类（种）重大疾病（恶性肿瘤、心脑血管疾病、神经退行性疾病、糖尿病、精神性疾病、自身免疫性疾病、呼吸系统疾病、耐药性病原菌感染、肺结核、病毒感染性疾病）以及其他多发病和常见病原创性及改良型化学药物创新药研发。支持拥有自主知识产权、临床价值大、市场前景好化学创新药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考核指标：项目在实施期内完成1个以上新药的全部临床研究，提交新药注册申请或并获得国家药品监督管理局</w:t>
      </w:r>
      <w:bookmarkStart w:id="178" w:name="_GoBack"/>
      <w:bookmarkEnd w:id="178"/>
      <w:r>
        <w:rPr>
          <w:rFonts w:ascii="Times New Roman" w:hAnsi="Times New Roman" w:eastAsia="仿宋_GB2312"/>
          <w:sz w:val="32"/>
          <w:szCs w:val="32"/>
        </w:rPr>
        <w:t>核发的新药证书。获得发明专利1件以上。产品上市后预计年产值5000万元以上。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品种需已开展临床研究并明确疗效好、安全性高。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1" w:name="_Toc83570522"/>
      <w:r>
        <w:rPr>
          <w:rFonts w:ascii="Times New Roman" w:hAnsi="Times New Roman" w:eastAsia="仿宋_GB2312"/>
          <w:b/>
          <w:sz w:val="32"/>
          <w:szCs w:val="32"/>
        </w:rPr>
        <w:t>方向</w:t>
      </w:r>
      <w:r>
        <w:rPr>
          <w:rFonts w:hint="eastAsia" w:ascii="Times New Roman" w:hAnsi="Times New Roman" w:eastAsia="仿宋_GB2312"/>
          <w:b/>
          <w:sz w:val="32"/>
          <w:szCs w:val="32"/>
        </w:rPr>
        <w:t>10</w:t>
      </w:r>
      <w:r>
        <w:rPr>
          <w:rFonts w:ascii="Times New Roman" w:hAnsi="Times New Roman" w:eastAsia="仿宋_GB2312"/>
          <w:b/>
          <w:sz w:val="32"/>
          <w:szCs w:val="32"/>
        </w:rPr>
        <w:t>：化学仿制药产品开发研究</w:t>
      </w:r>
      <w:bookmarkEnd w:id="151"/>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重点解决逆向工程、原料及制剂工艺研发、杂质谱、体外溶出曲线、临床等效性研究等技术难题，解决制约仿制药研发的核心关键瓶颈技术。支持针对国内紧缺，临床急需境内外已上市药物的仿制药开发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考核指标：实施期内需完成全部临床研究，申报新药注册并获得生产批件1件以上。获得发明专利1件以上。产品上市后预计年产值3000万元以上。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2" w:name="_Toc83570523"/>
      <w:r>
        <w:rPr>
          <w:rFonts w:ascii="Times New Roman" w:hAnsi="Times New Roman" w:eastAsia="仿宋_GB2312"/>
          <w:b/>
          <w:sz w:val="32"/>
          <w:szCs w:val="32"/>
        </w:rPr>
        <w:t>方向</w:t>
      </w:r>
      <w:r>
        <w:rPr>
          <w:rFonts w:hint="eastAsia" w:ascii="Times New Roman" w:hAnsi="Times New Roman" w:eastAsia="仿宋_GB2312"/>
          <w:b/>
          <w:sz w:val="32"/>
          <w:szCs w:val="32"/>
        </w:rPr>
        <w:t>11</w:t>
      </w:r>
      <w:r>
        <w:rPr>
          <w:rFonts w:ascii="Times New Roman" w:hAnsi="Times New Roman" w:eastAsia="仿宋_GB2312"/>
          <w:b/>
          <w:sz w:val="32"/>
          <w:szCs w:val="32"/>
        </w:rPr>
        <w:t>：仿制药质量与疗效一致性评价技术研究</w:t>
      </w:r>
      <w:bookmarkEnd w:id="152"/>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经济效益良好、临床应用广泛的品种开展一致性评价研究，重点解决仿制药质量提升、提高安全性、提高疗效、降低成本等问题，临床上实现与原研药相互替代，全面提高制剂研究水平。支持开展原料药以及制剂相关联一致性评价研究，建立试验药物体内体外溶出评价技术，优化原料药及制剂工艺；支持处方前如原料药关键属性、有关物质、pH相关溶解度、pKa、原辅料相容性等开展一致性评价关键技术研究；支持处方研究如处方筛选、工艺优化、工艺放大、体外溶出曲线、生物等效性临床研究等核心关键技术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考核指标：完成2个品种的处方工艺研究、中试放大生产、质量研究、临床研究等一致性评价研究内容，完成向国家药品审评中心提出申请并通过一致性评价，预计年产值5000万元以上。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3" w:name="_Toc83570524"/>
      <w:r>
        <w:rPr>
          <w:rFonts w:ascii="Times New Roman" w:hAnsi="Times New Roman" w:eastAsia="仿宋_GB2312"/>
          <w:b/>
          <w:sz w:val="32"/>
          <w:szCs w:val="32"/>
        </w:rPr>
        <w:t>方向</w:t>
      </w:r>
      <w:r>
        <w:rPr>
          <w:rFonts w:hint="eastAsia" w:ascii="Times New Roman" w:hAnsi="Times New Roman" w:eastAsia="仿宋_GB2312"/>
          <w:b/>
          <w:sz w:val="32"/>
          <w:szCs w:val="32"/>
        </w:rPr>
        <w:t>12</w:t>
      </w:r>
      <w:r>
        <w:rPr>
          <w:rFonts w:ascii="Times New Roman" w:hAnsi="Times New Roman" w:eastAsia="仿宋_GB2312"/>
          <w:b/>
          <w:sz w:val="32"/>
          <w:szCs w:val="32"/>
        </w:rPr>
        <w:t>：化学药物新型给药系统制剂产品开发研究</w:t>
      </w:r>
      <w:bookmarkEnd w:id="153"/>
    </w:p>
    <w:p>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市场前景好已上市的化学药物在临床使用中存在的有效性、安全性问题，支持膜控型、骨架型及贮库型缓控释给药系统制剂技术研发；支持高载药量、特异性释药的微粒制剂的工程化制备及稳定化技术研发；支持雾化吸入、吸入溶液等吸入给药系统技术研发；支持开展贴剂、软/硬膏剂、涂剂、膜剂、气雾剂等透皮给药系统技术研发；支持脂质体、靶向乳剂、微球、纳米粒、修饰的药物载体、前体靶向药物、磁性靶向制剂、栓塞靶向制剂、热敏感靶向制剂、结肠靶向药物制剂等靶向制剂技术研发；支持精密调控难溶性药物的溶出和提高透过生物膜能力，研发高载药量、特异性释药的微粒制剂创新品种。</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考核指标：项目在实施期内申报化学改良型新药生产批准注册并获得新药证书及生产批件等1件以上，获得发明专利1件以上，产品上市后预计年产值5000万元以上。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实施期限：2021年—2023年。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4" w:name="_Toc83570525"/>
      <w:r>
        <w:rPr>
          <w:rFonts w:ascii="Times New Roman" w:hAnsi="Times New Roman" w:eastAsia="仿宋_GB2312"/>
          <w:b/>
          <w:sz w:val="32"/>
          <w:szCs w:val="32"/>
        </w:rPr>
        <w:t>方向</w:t>
      </w:r>
      <w:r>
        <w:rPr>
          <w:rFonts w:hint="eastAsia" w:ascii="Times New Roman" w:hAnsi="Times New Roman" w:eastAsia="仿宋_GB2312"/>
          <w:b/>
          <w:sz w:val="32"/>
          <w:szCs w:val="32"/>
        </w:rPr>
        <w:t>13</w:t>
      </w:r>
      <w:r>
        <w:rPr>
          <w:rFonts w:ascii="Times New Roman" w:hAnsi="Times New Roman" w:eastAsia="仿宋_GB2312"/>
          <w:b/>
          <w:sz w:val="32"/>
          <w:szCs w:val="32"/>
        </w:rPr>
        <w:t>：生物制品技术研究与产品开发</w:t>
      </w:r>
      <w:bookmarkEnd w:id="154"/>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单抗、受体-抗体融合蛋白等抗体类药物的创新型新药、改良型新药和生物类似药的研发。支持蛋白类与多肽类药物的创新型新药、改良型新药、生物类似药的研发及已上市药物再研究与深度开发。支持原料来源明确的血液制品的开发研究。支持减毒活疫苗、灭活疫苗、类毒素疫苗、亚单位疫苗（含多肽疫苗）、载体疫苗、核酸疫苗等预防性与治疗性创新型疫苗、改良型疫苗及仿制疫苗的研发。支持嵌合抗原受体T细胞疗法（CAR-T）、T细胞受体疗法（TCR-T）、肿瘤浸润T细胞疗法（TIL）等免疫细胞治疗产品的开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考核指标：研制新产品1个以上，制定相应的产品质量标准1项以上，申请发明专利1件以上，获得批准上市新产品1个以上或获得1个以上生物技术新药临床研究许可，实现新增产值3000万元以上。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免疫细胞治疗产品的医疗机构必须取得相应的资质（提供证明材料）。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bookmarkEnd w:id="149"/>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55" w:name="_Toc83570526"/>
      <w:r>
        <w:rPr>
          <w:rFonts w:ascii="Times New Roman" w:hAnsi="Times New Roman" w:eastAsia="黑体"/>
          <w:kern w:val="0"/>
          <w:sz w:val="32"/>
          <w:szCs w:val="32"/>
        </w:rPr>
        <w:t>专题</w:t>
      </w:r>
      <w:r>
        <w:rPr>
          <w:rFonts w:hint="eastAsia" w:ascii="Times New Roman" w:hAnsi="Times New Roman" w:eastAsia="黑体"/>
          <w:kern w:val="0"/>
          <w:sz w:val="32"/>
          <w:szCs w:val="32"/>
        </w:rPr>
        <w:t>4：</w:t>
      </w:r>
      <w:r>
        <w:rPr>
          <w:rFonts w:ascii="Times New Roman" w:hAnsi="Times New Roman" w:eastAsia="黑体"/>
          <w:kern w:val="0"/>
          <w:sz w:val="32"/>
          <w:szCs w:val="32"/>
        </w:rPr>
        <w:t>绿色生物制造关键技术及产品开发</w:t>
      </w:r>
      <w:bookmarkEnd w:id="155"/>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6" w:name="_Toc83570527"/>
      <w:r>
        <w:rPr>
          <w:rFonts w:ascii="Times New Roman" w:hAnsi="Times New Roman" w:eastAsia="仿宋_GB2312"/>
          <w:b/>
          <w:sz w:val="32"/>
          <w:szCs w:val="32"/>
        </w:rPr>
        <w:t>方向</w:t>
      </w:r>
      <w:r>
        <w:rPr>
          <w:rFonts w:hint="eastAsia" w:ascii="Times New Roman" w:hAnsi="Times New Roman" w:eastAsia="仿宋_GB2312"/>
          <w:b/>
          <w:sz w:val="32"/>
          <w:szCs w:val="32"/>
        </w:rPr>
        <w:t>14</w:t>
      </w:r>
      <w:r>
        <w:rPr>
          <w:rFonts w:ascii="Times New Roman" w:hAnsi="Times New Roman" w:eastAsia="仿宋_GB2312"/>
          <w:b/>
          <w:sz w:val="32"/>
          <w:szCs w:val="32"/>
        </w:rPr>
        <w:t>：微生物关键技术研究与高端产品开发</w:t>
      </w:r>
      <w:bookmarkEnd w:id="156"/>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传统发酵食品发酵过程关键机理和智能高效酿造生产技术研究与新产品创制，揭示发酵食品加工过程中内外因素对其感官品质、营养价值、危害因子形成的关联影响规律，建立调控工艺，形成系列安全、营养和高值化新产品。支持生物制造工业菌株（菌群）构建，规模化发酵培养关键技术与装备发展，创制新一代生物制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研制微生物菌剂2个以上，创制发酵设备1套，建立调控工艺1~2个，开发新产品2个以上，获得发明专利2件以上，建立产业化生产示范线1条；制定成套技术规程和标准2个以上，项目实施期内实现新增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7" w:name="_Toc83570528"/>
      <w:r>
        <w:rPr>
          <w:rFonts w:ascii="Times New Roman" w:hAnsi="Times New Roman" w:eastAsia="仿宋_GB2312"/>
          <w:b/>
          <w:sz w:val="32"/>
          <w:szCs w:val="32"/>
        </w:rPr>
        <w:t>方向</w:t>
      </w:r>
      <w:r>
        <w:rPr>
          <w:rFonts w:hint="eastAsia" w:ascii="Times New Roman" w:hAnsi="Times New Roman" w:eastAsia="仿宋_GB2312"/>
          <w:b/>
          <w:sz w:val="32"/>
          <w:szCs w:val="32"/>
        </w:rPr>
        <w:t>15</w:t>
      </w:r>
      <w:r>
        <w:rPr>
          <w:rFonts w:ascii="Times New Roman" w:hAnsi="Times New Roman" w:eastAsia="仿宋_GB2312"/>
          <w:b/>
          <w:sz w:val="32"/>
          <w:szCs w:val="32"/>
        </w:rPr>
        <w:t>：生物工程关键技术研究与高端产品开发</w:t>
      </w:r>
      <w:bookmarkEnd w:id="15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生物活性肽产品、酶制剂、药物中间体、精细化学品以及新型中兽药等生物工程制造与产品开发。支持生物转化与合成或酶法生成具有抗肿瘤、降血糖、降血脂等高值高活性天然产物及其衍生物。</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考核指标：建立关键技术体系1套；开发新产品2个以上，获得发明专利2件以上；建立产业化生产示范线1条；制定成套技术规程和标准2个以上；项目实施期内实现新增产值5000万元以上。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8" w:name="_Toc83570529"/>
      <w:r>
        <w:rPr>
          <w:rFonts w:ascii="Times New Roman" w:hAnsi="Times New Roman" w:eastAsia="仿宋_GB2312"/>
          <w:b/>
          <w:sz w:val="32"/>
          <w:szCs w:val="32"/>
        </w:rPr>
        <w:t>方向</w:t>
      </w:r>
      <w:r>
        <w:rPr>
          <w:rFonts w:hint="eastAsia" w:ascii="Times New Roman" w:hAnsi="Times New Roman" w:eastAsia="仿宋_GB2312"/>
          <w:b/>
          <w:sz w:val="32"/>
          <w:szCs w:val="32"/>
        </w:rPr>
        <w:t>16</w:t>
      </w:r>
      <w:r>
        <w:rPr>
          <w:rFonts w:ascii="Times New Roman" w:hAnsi="Times New Roman" w:eastAsia="仿宋_GB2312"/>
          <w:b/>
          <w:sz w:val="32"/>
          <w:szCs w:val="32"/>
        </w:rPr>
        <w:t>：生物材料与高端智造及产品开发</w:t>
      </w:r>
      <w:bookmarkEnd w:id="158"/>
    </w:p>
    <w:p>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主要研究开发内容：支持蔗糖及副产物高值化关键生物技术研究。支持3D打印生物材料、可降解生物材料、生物医用材料等基于合成生物学、分子仿生学等的生物基新材料、新产品的创制。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关键新酶1~2种，获得高性能菌种1~2株；阐明1~2种生物制造的新机理；建立稳定运行的生物制造工艺1条；形成新产品2个以上，获得发明专利2件以上；建立产业化生产示范线1条；制定成套技术规程和标准2个以上；项目实施期内实现新增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59" w:name="_Toc83570530"/>
      <w:r>
        <w:rPr>
          <w:rFonts w:ascii="Times New Roman" w:hAnsi="Times New Roman" w:eastAsia="仿宋_GB2312"/>
          <w:b/>
          <w:sz w:val="32"/>
          <w:szCs w:val="32"/>
        </w:rPr>
        <w:t>方向</w:t>
      </w:r>
      <w:r>
        <w:rPr>
          <w:rFonts w:hint="eastAsia" w:ascii="Times New Roman" w:hAnsi="Times New Roman" w:eastAsia="仿宋_GB2312"/>
          <w:b/>
          <w:sz w:val="32"/>
          <w:szCs w:val="32"/>
        </w:rPr>
        <w:t>17</w:t>
      </w:r>
      <w:r>
        <w:rPr>
          <w:rFonts w:ascii="Times New Roman" w:hAnsi="Times New Roman" w:eastAsia="仿宋_GB2312"/>
          <w:b/>
          <w:sz w:val="32"/>
          <w:szCs w:val="32"/>
        </w:rPr>
        <w:t>：生物质能源关键技术研究与高端产品开发</w:t>
      </w:r>
      <w:bookmarkEnd w:id="159"/>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聚焦生物技术利用与开发途径，突破原料预处理、高效转化与成套装备研制关键制约节点与技术瓶颈，支持有机废弃物高效、高值和低成本资源化利用，形成高效转化为燃料、化学品和材料等多元化高值生物质产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考核指标：建立高值生物质产品关键技术体系1套；开发新产品1</w:t>
      </w:r>
      <w:r>
        <w:rPr>
          <w:rFonts w:hint="eastAsia" w:ascii="Times New Roman" w:hAnsi="Times New Roman" w:eastAsia="仿宋_GB2312"/>
          <w:sz w:val="32"/>
          <w:szCs w:val="32"/>
        </w:rPr>
        <w:t>~</w:t>
      </w:r>
      <w:r>
        <w:rPr>
          <w:rFonts w:ascii="Times New Roman" w:hAnsi="Times New Roman" w:eastAsia="仿宋_GB2312"/>
          <w:sz w:val="32"/>
          <w:szCs w:val="32"/>
        </w:rPr>
        <w:t>2个，获得发明专利2件以上；建立产业化生产示范线1条；制定成套技术规程和标准2个以上；项目实施期内实现新增产值5000万元以上。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60" w:name="_Toc83570531"/>
      <w:r>
        <w:rPr>
          <w:rFonts w:ascii="Times New Roman" w:hAnsi="Times New Roman" w:eastAsia="黑体"/>
          <w:kern w:val="0"/>
          <w:sz w:val="32"/>
          <w:szCs w:val="32"/>
        </w:rPr>
        <w:t>专题</w:t>
      </w:r>
      <w:r>
        <w:rPr>
          <w:rFonts w:hint="eastAsia" w:ascii="Times New Roman" w:hAnsi="Times New Roman" w:eastAsia="黑体"/>
          <w:kern w:val="0"/>
          <w:sz w:val="32"/>
          <w:szCs w:val="32"/>
        </w:rPr>
        <w:t>5</w:t>
      </w:r>
      <w:r>
        <w:rPr>
          <w:rFonts w:ascii="Times New Roman" w:hAnsi="Times New Roman" w:eastAsia="黑体"/>
          <w:kern w:val="0"/>
          <w:sz w:val="32"/>
          <w:szCs w:val="32"/>
        </w:rPr>
        <w:t>：医用材料与医疗器械技术研究及产品开发</w:t>
      </w:r>
      <w:bookmarkEnd w:id="160"/>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1" w:name="_Toc83570532"/>
      <w:r>
        <w:rPr>
          <w:rFonts w:ascii="Times New Roman" w:hAnsi="Times New Roman" w:eastAsia="仿宋_GB2312"/>
          <w:b/>
          <w:sz w:val="32"/>
          <w:szCs w:val="32"/>
        </w:rPr>
        <w:t>方向</w:t>
      </w:r>
      <w:r>
        <w:rPr>
          <w:rFonts w:hint="eastAsia" w:ascii="Times New Roman" w:hAnsi="Times New Roman" w:eastAsia="仿宋_GB2312"/>
          <w:b/>
          <w:sz w:val="32"/>
          <w:szCs w:val="32"/>
        </w:rPr>
        <w:t>18</w:t>
      </w:r>
      <w:r>
        <w:rPr>
          <w:rFonts w:ascii="Times New Roman" w:hAnsi="Times New Roman" w:eastAsia="仿宋_GB2312"/>
          <w:b/>
          <w:sz w:val="32"/>
          <w:szCs w:val="32"/>
        </w:rPr>
        <w:t>：新型医疗器械产品开发研究</w:t>
      </w:r>
      <w:bookmarkEnd w:id="161"/>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以数字PCR仪、高通量测序仪为代表的新一代基因检测、以全自动高通量流式细胞仪为代表的新一代免疫功能检测等医疗装备研发；支持新一代医用X射线系统、医用超声系统、CT和MR（核磁共振）等医疗装备研发；支持基于新一代信息技术和生物前沿技术的重大疾病早期诊断设备研发；支持具有广西特色和技术储备的口腔类医疗器械、高端电动手术台、高端医用防护产品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考核指标：完成2个以上与研发内容相关的三类医疗器械产品研发、上市及产业化，获得发明专利3件以上，产品上市后预计年产值5000万元以上。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2" w:name="_Toc83570533"/>
      <w:r>
        <w:rPr>
          <w:rFonts w:ascii="Times New Roman" w:hAnsi="Times New Roman" w:eastAsia="仿宋_GB2312"/>
          <w:b/>
          <w:sz w:val="32"/>
          <w:szCs w:val="32"/>
        </w:rPr>
        <w:t>方向</w:t>
      </w:r>
      <w:r>
        <w:rPr>
          <w:rFonts w:hint="eastAsia" w:ascii="Times New Roman" w:hAnsi="Times New Roman" w:eastAsia="仿宋_GB2312"/>
          <w:b/>
          <w:sz w:val="32"/>
          <w:szCs w:val="32"/>
        </w:rPr>
        <w:t>19</w:t>
      </w:r>
      <w:r>
        <w:rPr>
          <w:rFonts w:ascii="Times New Roman" w:hAnsi="Times New Roman" w:eastAsia="仿宋_GB2312"/>
          <w:b/>
          <w:sz w:val="32"/>
          <w:szCs w:val="32"/>
        </w:rPr>
        <w:t>：创新体外诊断试剂及设备研发</w:t>
      </w:r>
      <w:bookmarkEnd w:id="162"/>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基于数字PCR法、高通量测序仪及高通量流式细胞仪的体外诊断试剂盒研发；支持创新体外诊断试剂及设备研发，提高化学发光试剂的在我区体外诊断试剂的占比；支持新型多功能POCT体外诊断试剂盒研发；支持与新型POCT体外诊断试剂盒配套使用的便携式检测仪器研发；支持具有广西特色和技术储备的新型尿液、血液和生化检测系统研发；支持新型生理生化多参数检测检测系统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考核指标：研发高精确度、智能化、网络化的全自动临床检验设备，获得发明专利3件以上，获得10个以上与研发内容相关的产品注册证和生产许可，上市后预计年产值5000万元以上。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3" w:name="_Toc83570534"/>
      <w:r>
        <w:rPr>
          <w:rFonts w:ascii="Times New Roman" w:hAnsi="Times New Roman" w:eastAsia="仿宋_GB2312"/>
          <w:b/>
          <w:sz w:val="32"/>
          <w:szCs w:val="32"/>
        </w:rPr>
        <w:t>方向</w:t>
      </w:r>
      <w:r>
        <w:rPr>
          <w:rFonts w:hint="eastAsia" w:ascii="Times New Roman" w:hAnsi="Times New Roman" w:eastAsia="仿宋_GB2312"/>
          <w:b/>
          <w:sz w:val="32"/>
          <w:szCs w:val="32"/>
        </w:rPr>
        <w:t>20</w:t>
      </w:r>
      <w:r>
        <w:rPr>
          <w:rFonts w:ascii="Times New Roman" w:hAnsi="Times New Roman" w:eastAsia="仿宋_GB2312"/>
          <w:b/>
          <w:sz w:val="32"/>
          <w:szCs w:val="32"/>
        </w:rPr>
        <w:t>：智能医用康复器械与健康产品研发</w:t>
      </w:r>
      <w:bookmarkEnd w:id="163"/>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认知视听康复设备、运动康复训练设备、助行器械、矫形固定器械、智能家用理疗仪等康复医疗器械研发；支持可穿戴动态心电监测仪、无创血糖仪、掌上尿液分析仪等便携式健康监测设备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考核指标：获得10个以上与研发内容相关的产品注册证和生产许可，获得发明专利3件以上，上市后预计年产值5000万元以上。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4" w:name="_Toc83570535"/>
      <w:r>
        <w:rPr>
          <w:rFonts w:ascii="Times New Roman" w:hAnsi="Times New Roman" w:eastAsia="仿宋_GB2312"/>
          <w:b/>
          <w:sz w:val="32"/>
          <w:szCs w:val="32"/>
        </w:rPr>
        <w:t>方向</w:t>
      </w:r>
      <w:r>
        <w:rPr>
          <w:rFonts w:hint="eastAsia" w:ascii="Times New Roman" w:hAnsi="Times New Roman" w:eastAsia="仿宋_GB2312"/>
          <w:b/>
          <w:sz w:val="32"/>
          <w:szCs w:val="32"/>
        </w:rPr>
        <w:t>21</w:t>
      </w:r>
      <w:r>
        <w:rPr>
          <w:rFonts w:ascii="Times New Roman" w:hAnsi="Times New Roman" w:eastAsia="仿宋_GB2312"/>
          <w:b/>
          <w:sz w:val="32"/>
          <w:szCs w:val="32"/>
        </w:rPr>
        <w:t>：医用软件、智慧医疗产品及终端研发</w:t>
      </w:r>
      <w:bookmarkEnd w:id="164"/>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以人工智能技术为基础的医学影像辅助诊断软件和其他医疗产品研发；支持电子健康档案、病历、电子处方等数据库建设与共享软件开发；支持中小学生视力筛查、监控和康复器械的研发；支持以居民健康为中心，社区智能健康筛查、智能化慢病管理的评估服务、健康干预服务以及移动检测终端的智能化健康数据监测，形成从筛查、评估、干预、改善、效果监测的社区智能化健康综合管理平台软件开发；支持上下级医疗机构协同的远程门诊、远程教育、双向转诊等相关软件平台开发；支持医疗注册应用软件研发,支持兼容人工智能、5G、大数据、云计算等新技术的智慧医疗产品及终端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考核指标：获得5个以上与研发内容相关的产品注册证和生产许可并至少包括2个以上三类医疗器械，获得发明专利3件以上，上市后预计年产值3000万元以上。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5" w:name="_Toc83570536"/>
      <w:r>
        <w:rPr>
          <w:rFonts w:ascii="Times New Roman" w:hAnsi="Times New Roman" w:eastAsia="仿宋_GB2312"/>
          <w:b/>
          <w:sz w:val="32"/>
          <w:szCs w:val="32"/>
        </w:rPr>
        <w:t>方向</w:t>
      </w:r>
      <w:r>
        <w:rPr>
          <w:rFonts w:hint="eastAsia" w:ascii="Times New Roman" w:hAnsi="Times New Roman" w:eastAsia="仿宋_GB2312"/>
          <w:b/>
          <w:sz w:val="32"/>
          <w:szCs w:val="32"/>
        </w:rPr>
        <w:t>22</w:t>
      </w:r>
      <w:r>
        <w:rPr>
          <w:rFonts w:ascii="Times New Roman" w:hAnsi="Times New Roman" w:eastAsia="仿宋_GB2312"/>
          <w:b/>
          <w:sz w:val="32"/>
          <w:szCs w:val="32"/>
        </w:rPr>
        <w:t>：生物医用材料及器械研发</w:t>
      </w:r>
      <w:bookmarkEnd w:id="165"/>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主要研究开发内容：针对医用材料在医疗器械应用中功能开发深度不够、医疗器械与材料整合水平低等技术难题</w:t>
      </w:r>
      <w:r>
        <w:rPr>
          <w:rFonts w:hint="eastAsia" w:ascii="Times New Roman" w:hAnsi="Times New Roman" w:eastAsia="仿宋_GB2312"/>
          <w:sz w:val="32"/>
          <w:szCs w:val="32"/>
          <w:lang w:eastAsia="zh-CN"/>
        </w:rPr>
        <w:t>，</w:t>
      </w:r>
      <w:r>
        <w:rPr>
          <w:rFonts w:ascii="Times New Roman" w:hAnsi="Times New Roman" w:eastAsia="仿宋_GB2312"/>
          <w:sz w:val="32"/>
          <w:szCs w:val="32"/>
        </w:rPr>
        <w:t>支持开展骨科植入物、血管介入治疗器材、医用敷料、齿科材料等高值耗材及器械研发；支持利用新型医用材料研发新型医疗器械；优先支持可替代国外产品的介入式治疗器械、骨科植入器械等产品研发。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考核指标：完成3个以上医疗器械新材料产品的产业化，获得3个以上产品注册证和生产许可，获得发明专利3件以上，上市后预计年产值3000万元以上。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outlineLvl w:val="1"/>
        <w:rPr>
          <w:rFonts w:ascii="Times New Roman" w:hAnsi="Times New Roman" w:eastAsia="黑体"/>
          <w:kern w:val="0"/>
          <w:sz w:val="32"/>
          <w:szCs w:val="32"/>
        </w:rPr>
      </w:pPr>
      <w:bookmarkStart w:id="166" w:name="_Toc83570537"/>
      <w:r>
        <w:rPr>
          <w:rFonts w:ascii="Times New Roman" w:hAnsi="Times New Roman" w:eastAsia="黑体"/>
          <w:kern w:val="0"/>
          <w:sz w:val="32"/>
          <w:szCs w:val="32"/>
        </w:rPr>
        <w:t>专题</w:t>
      </w:r>
      <w:r>
        <w:rPr>
          <w:rFonts w:hint="eastAsia" w:ascii="Times New Roman" w:hAnsi="Times New Roman" w:eastAsia="黑体"/>
          <w:kern w:val="0"/>
          <w:sz w:val="32"/>
          <w:szCs w:val="32"/>
        </w:rPr>
        <w:t>6：</w:t>
      </w:r>
      <w:r>
        <w:rPr>
          <w:rFonts w:ascii="Times New Roman" w:hAnsi="Times New Roman" w:eastAsia="黑体"/>
          <w:kern w:val="0"/>
          <w:sz w:val="32"/>
          <w:szCs w:val="32"/>
        </w:rPr>
        <w:t>新型医疗健康服务模式创新研究与产品开发</w:t>
      </w:r>
      <w:bookmarkEnd w:id="16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7" w:name="_Toc83570538"/>
      <w:r>
        <w:rPr>
          <w:rFonts w:ascii="Times New Roman" w:hAnsi="Times New Roman" w:eastAsia="仿宋_GB2312"/>
          <w:b/>
          <w:sz w:val="32"/>
          <w:szCs w:val="32"/>
        </w:rPr>
        <w:t>方向</w:t>
      </w:r>
      <w:r>
        <w:rPr>
          <w:rFonts w:hint="eastAsia" w:ascii="Times New Roman" w:hAnsi="Times New Roman" w:eastAsia="仿宋_GB2312"/>
          <w:b/>
          <w:sz w:val="32"/>
          <w:szCs w:val="32"/>
        </w:rPr>
        <w:t>23</w:t>
      </w:r>
      <w:r>
        <w:rPr>
          <w:rFonts w:ascii="Times New Roman" w:hAnsi="Times New Roman" w:eastAsia="仿宋_GB2312"/>
          <w:b/>
          <w:sz w:val="32"/>
          <w:szCs w:val="32"/>
        </w:rPr>
        <w:t>：药物干预与非药物干预协同服务模式构建及产业发展</w:t>
      </w:r>
      <w:bookmarkEnd w:id="16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主要研究开发内容：支持构建营养、运动、心理等非药物干预与药物干预服务协同的医疗健康一体化连续服务模式和第三方服务研究；支持不同层级的健康连续服务中心基本标准、建设指南和管理规范研究。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考核指标：完成不少于20种科学膳食产品和健康食品开发并完成上市销售，获得发明专利2件以上，完成1个以上医疗健康一体化连续服务中心建设和跨区域共享平台的研发。预计投入运营后年产值3000万元以上。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8" w:name="_Toc83570539"/>
      <w:r>
        <w:rPr>
          <w:rFonts w:ascii="Times New Roman" w:hAnsi="Times New Roman" w:eastAsia="仿宋_GB2312"/>
          <w:b/>
          <w:sz w:val="32"/>
          <w:szCs w:val="32"/>
        </w:rPr>
        <w:t>方向</w:t>
      </w:r>
      <w:r>
        <w:rPr>
          <w:rFonts w:hint="eastAsia" w:ascii="Times New Roman" w:hAnsi="Times New Roman" w:eastAsia="仿宋_GB2312"/>
          <w:b/>
          <w:sz w:val="32"/>
          <w:szCs w:val="32"/>
        </w:rPr>
        <w:t>24</w:t>
      </w:r>
      <w:r>
        <w:rPr>
          <w:rFonts w:ascii="Times New Roman" w:hAnsi="Times New Roman" w:eastAsia="仿宋_GB2312"/>
          <w:b/>
          <w:sz w:val="32"/>
          <w:szCs w:val="32"/>
        </w:rPr>
        <w:t>：构建基于专业指导的健康自主管理服务模式及产业发展</w:t>
      </w:r>
      <w:bookmarkEnd w:id="168"/>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以紧密型医联体为抓手，以全民健康为核心，为城乡居民提供健康信息感知、风险预警、慢病防控与管理、中医体质辨识、养生保健等健康自主管理第三方服务，提升城乡居民综合健康素养的研究；支持利用大数据+区块链，探索健康金融服务路径，创建基于个人授权的健康相关数据资产治理方案，促进基于区块链技术的个人健康相关数据资产创新健康金融服务的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考核指标：获得发明专利1件以上；创新1个以上健康金融产品；完成1个以上基于专业指导的健康自主管理平台的研发并投入运营，预计年产值达3000万元以上。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69" w:name="_Toc83570540"/>
      <w:r>
        <w:rPr>
          <w:rFonts w:ascii="Times New Roman" w:hAnsi="Times New Roman" w:eastAsia="仿宋_GB2312"/>
          <w:b/>
          <w:sz w:val="32"/>
          <w:szCs w:val="32"/>
        </w:rPr>
        <w:t>方向</w:t>
      </w:r>
      <w:r>
        <w:rPr>
          <w:rFonts w:hint="eastAsia" w:ascii="Times New Roman" w:hAnsi="Times New Roman" w:eastAsia="仿宋_GB2312"/>
          <w:b/>
          <w:sz w:val="32"/>
          <w:szCs w:val="32"/>
        </w:rPr>
        <w:t>25</w:t>
      </w:r>
      <w:r>
        <w:rPr>
          <w:rFonts w:ascii="Times New Roman" w:hAnsi="Times New Roman" w:eastAsia="仿宋_GB2312"/>
          <w:b/>
          <w:sz w:val="32"/>
          <w:szCs w:val="32"/>
        </w:rPr>
        <w:t>：院前院中院后连续服务模式构建及产业发展</w:t>
      </w:r>
      <w:bookmarkEnd w:id="169"/>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院前院中院后相结合的全健康过程连续服务模式的研究，支持为亚临床期人群和健康人群提供主动健康服务，抑制慢病发生率，改善和提高百姓身体素质的研究；支持为慢病患者提供慢病筛查、慢病康养服务，控制慢病的发展，提高慢病治疗率的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考核指标：获得发明专利1件以上；创建健康连续服务示范基地医院1个和第三方产业化运营中心1个，预计年产值3000万元以上。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0" w:name="_Toc83570541"/>
      <w:r>
        <w:rPr>
          <w:rFonts w:ascii="Times New Roman" w:hAnsi="Times New Roman" w:eastAsia="仿宋_GB2312"/>
          <w:b/>
          <w:sz w:val="32"/>
          <w:szCs w:val="32"/>
        </w:rPr>
        <w:t>方向</w:t>
      </w:r>
      <w:r>
        <w:rPr>
          <w:rFonts w:hint="eastAsia" w:ascii="Times New Roman" w:hAnsi="Times New Roman" w:eastAsia="仿宋_GB2312"/>
          <w:b/>
          <w:sz w:val="32"/>
          <w:szCs w:val="32"/>
        </w:rPr>
        <w:t>26</w:t>
      </w:r>
      <w:r>
        <w:rPr>
          <w:rFonts w:ascii="Times New Roman" w:hAnsi="Times New Roman" w:eastAsia="仿宋_GB2312"/>
          <w:b/>
          <w:sz w:val="32"/>
          <w:szCs w:val="32"/>
        </w:rPr>
        <w:t>：智能人居环境服务模式构建及产品开发</w:t>
      </w:r>
      <w:bookmarkEnd w:id="170"/>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社区家庭老残一体化健康预警、新型照护、智慧康复、主动健康等服务的研究；支持社区家庭健康家居装备、健身装备、康复辅具、通讯装备等边缘计算装备的设计研发和后服务协同发展的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考核指标：获得发明专利2件以上；完成2个以上新型家用医疗装备产品研发，获得2件以上医疗器械注册生产批件并实现产业化。预计年产值3000万元以上。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实施期限：2021年—2025年。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1" w:name="_Toc83570542"/>
      <w:r>
        <w:rPr>
          <w:rFonts w:ascii="Times New Roman" w:hAnsi="Times New Roman" w:eastAsia="仿宋_GB2312"/>
          <w:b/>
          <w:sz w:val="32"/>
          <w:szCs w:val="32"/>
        </w:rPr>
        <w:t>方向</w:t>
      </w:r>
      <w:r>
        <w:rPr>
          <w:rFonts w:hint="eastAsia" w:ascii="Times New Roman" w:hAnsi="Times New Roman" w:eastAsia="仿宋_GB2312"/>
          <w:b/>
          <w:sz w:val="32"/>
          <w:szCs w:val="32"/>
        </w:rPr>
        <w:t>27</w:t>
      </w:r>
      <w:r>
        <w:rPr>
          <w:rFonts w:ascii="Times New Roman" w:hAnsi="Times New Roman" w:eastAsia="仿宋_GB2312"/>
          <w:b/>
          <w:sz w:val="32"/>
          <w:szCs w:val="32"/>
        </w:rPr>
        <w:t>：流动医疗服务模式构建及重点产品开发</w:t>
      </w:r>
      <w:bookmarkEnd w:id="171"/>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主要研究开发内容：支持“移动式医疗装备”研发及产业化，构建基于流动医疗服务的应急主动医疗服务新模式；支持发展流动医疗基础设施装备，实现健康信息监测、检测、存储、计算与传输，促进开源外接装备与新能源汽车底盘深度融合，发放跨境健康护照，完成跨境数据规范编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获得发明专利2件以上，发放跨境健康护照不少于3万人，完成1份跨境数据规范编制，获得1辆从业人员健康检查车、1辆口腔流动服务车、1辆全科体检车、1辆社区巡诊与应急多功能车等车辆的专用车目录，1个首台套产品的注册证书并实现产业化。完成1个基于流动医疗服务模式的边境沿线国门主动健康医院示范医院建设，完成主动健康医院基本标准、建设指南、运行规范编制各1份。</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 xml:space="preserve"> </w:t>
      </w:r>
      <w:r>
        <w:rPr>
          <w:rFonts w:ascii="Times New Roman" w:hAnsi="Times New Roman" w:eastAsia="仿宋_GB2312"/>
          <w:sz w:val="32"/>
          <w:szCs w:val="32"/>
        </w:rPr>
        <w:t>实施期限：2021年</w:t>
      </w:r>
      <w:r>
        <w:rPr>
          <w:rFonts w:hint="eastAsia" w:ascii="Times New Roman" w:hAnsi="Times New Roman" w:eastAsia="仿宋_GB2312"/>
          <w:sz w:val="32"/>
          <w:szCs w:val="32"/>
        </w:rPr>
        <w:t>—</w:t>
      </w:r>
      <w:r>
        <w:rPr>
          <w:rFonts w:ascii="Times New Roman" w:hAnsi="Times New Roman" w:eastAsia="仿宋_GB2312"/>
          <w:sz w:val="32"/>
          <w:szCs w:val="32"/>
        </w:rPr>
        <w:t>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资助经费：300万元—800万元。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本方向以公开择优方式遴选项目。申报单位应具有较强的科研开发实力和研究基础，鼓励高校、科研院所与企业等组成产学研团队联合申报。本方向不限企业牵头申报，企业牵头或参与的项目，财政科技下达企业的经费企业须按（</w:t>
      </w:r>
      <w:r>
        <w:rPr>
          <w:rFonts w:hint="eastAsia" w:ascii="Times New Roman" w:hAnsi="Times New Roman" w:eastAsia="仿宋_GB2312"/>
          <w:sz w:val="32"/>
          <w:szCs w:val="32"/>
        </w:rPr>
        <w:t>1:</w:t>
      </w:r>
      <w:r>
        <w:rPr>
          <w:rFonts w:ascii="Times New Roman" w:hAnsi="Times New Roman" w:eastAsia="仿宋_GB2312"/>
          <w:sz w:val="32"/>
          <w:szCs w:val="32"/>
        </w:rPr>
        <w:t>3）匹配项目自筹经费。</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ascii="Times New Roman" w:hAnsi="Times New Roman" w:eastAsia="仿宋_GB2312"/>
          <w:b/>
          <w:kern w:val="0"/>
          <w:sz w:val="32"/>
          <w:szCs w:val="32"/>
        </w:rPr>
      </w:pPr>
      <w:r>
        <w:rPr>
          <w:rFonts w:ascii="Times New Roman" w:hAnsi="Times New Roman" w:eastAsia="仿宋_GB2312"/>
          <w:b/>
          <w:kern w:val="0"/>
          <w:sz w:val="32"/>
          <w:szCs w:val="32"/>
        </w:rPr>
        <w:br w:type="page"/>
      </w:r>
      <w:bookmarkStart w:id="172" w:name="_Toc83570544"/>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ascii="Times New Roman" w:hAnsi="Times New Roman" w:eastAsia="仿宋_GB2312"/>
          <w:b/>
          <w:kern w:val="0"/>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olor w:val="000000"/>
          <w:kern w:val="0"/>
          <w:sz w:val="44"/>
          <w:szCs w:val="44"/>
        </w:rPr>
      </w:pPr>
      <w:r>
        <w:rPr>
          <w:rFonts w:hint="eastAsia" w:ascii="Times New Roman" w:hAnsi="Times New Roman" w:eastAsia="方正小标宋简体"/>
          <w:color w:val="000000"/>
          <w:kern w:val="0"/>
          <w:sz w:val="44"/>
          <w:szCs w:val="44"/>
        </w:rPr>
        <w:t>现代特色农业专项</w:t>
      </w:r>
      <w:bookmarkEnd w:id="172"/>
    </w:p>
    <w:p>
      <w:pPr>
        <w:keepNext w:val="0"/>
        <w:keepLines w:val="0"/>
        <w:pageBreakBefore w:val="0"/>
        <w:widowControl w:val="0"/>
        <w:kinsoku/>
        <w:wordWrap/>
        <w:overflowPunct w:val="0"/>
        <w:topLinePunct w:val="0"/>
        <w:autoSpaceDE/>
        <w:autoSpaceDN/>
        <w:bidi w:val="0"/>
        <w:adjustRightInd/>
        <w:snapToGrid/>
        <w:spacing w:line="560" w:lineRule="exact"/>
        <w:jc w:val="both"/>
        <w:textAlignment w:val="auto"/>
        <w:outlineLvl w:val="0"/>
        <w:rPr>
          <w:rFonts w:hint="eastAsia" w:ascii="Times New Roman" w:hAnsi="Times New Roman" w:eastAsia="方正小标宋简体"/>
          <w:color w:val="000000"/>
          <w:kern w:val="0"/>
          <w:sz w:val="44"/>
          <w:szCs w:val="44"/>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3" w:name="_Toc83570545"/>
      <w:r>
        <w:rPr>
          <w:rFonts w:ascii="Times New Roman" w:hAnsi="Times New Roman" w:eastAsia="仿宋_GB2312"/>
          <w:b/>
          <w:sz w:val="32"/>
          <w:szCs w:val="32"/>
        </w:rPr>
        <w:t>方向</w:t>
      </w:r>
      <w:r>
        <w:rPr>
          <w:rFonts w:hint="eastAsia" w:ascii="Times New Roman" w:hAnsi="Times New Roman" w:eastAsia="仿宋_GB2312"/>
          <w:b/>
          <w:sz w:val="32"/>
          <w:szCs w:val="32"/>
        </w:rPr>
        <w:t>1</w:t>
      </w:r>
      <w:r>
        <w:rPr>
          <w:rFonts w:ascii="Times New Roman" w:hAnsi="Times New Roman" w:eastAsia="仿宋_GB2312"/>
          <w:b/>
          <w:sz w:val="32"/>
          <w:szCs w:val="32"/>
        </w:rPr>
        <w:t>：广西主要粮食作物突破性新品种选育及示范应用</w:t>
      </w:r>
      <w:bookmarkEnd w:id="173"/>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w:t>
      </w:r>
      <w:r>
        <w:rPr>
          <w:rFonts w:ascii="Times New Roman" w:hAnsi="Times New Roman" w:eastAsia="仿宋_GB2312"/>
          <w:sz w:val="32"/>
          <w:szCs w:val="32"/>
        </w:rPr>
        <w:t>围绕水稻、玉米、马铃薯、甘薯等主要粮食作物，引进国内外特异种质资源，开展种质资源系统评价和精准鉴定，构建育种核心种质库及信息共享平台，建立完善的现代育种技术体系，开展优异功能基因挖掘，获取具有自主知识产权优异基因位点，培育具有突破性的高抗低镉优质稻品种、粮饲通（兼）用玉米新品种以及加工兼用型马铃薯甘薯新品种，并进行示范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建成水稻核心种质库1个；构建完善水稻遗传资源信息共享平台1个；精准鉴定水稻优异种质资源500份以上；创制水稻种质100份以上，并创制聚合2个以上优异性状的新种质40份以上；获得具有自主知识产权的优异基因位点5个以上；育成水稻新品种10个以上（至少获得国家审定品种1个），其中在低镉积累水稻品种（1个</w:t>
      </w:r>
      <w:r>
        <w:rPr>
          <w:rFonts w:hint="eastAsia" w:ascii="Times New Roman" w:hAnsi="Times New Roman" w:eastAsia="仿宋_GB2312"/>
          <w:sz w:val="32"/>
          <w:szCs w:val="32"/>
        </w:rPr>
        <w:t>，</w:t>
      </w:r>
      <w:r>
        <w:rPr>
          <w:rFonts w:ascii="Times New Roman" w:hAnsi="Times New Roman" w:eastAsia="仿宋_GB2312"/>
          <w:sz w:val="32"/>
          <w:szCs w:val="32"/>
        </w:rPr>
        <w:t>高镉土壤条件下镉积累&lt;0.2</w:t>
      </w:r>
      <w:r>
        <w:rPr>
          <w:rFonts w:hint="eastAsia" w:ascii="Times New Roman" w:hAnsi="Times New Roman" w:eastAsia="仿宋_GB2312"/>
          <w:sz w:val="32"/>
          <w:szCs w:val="32"/>
        </w:rPr>
        <w:t xml:space="preserve"> </w:t>
      </w:r>
      <w:r>
        <w:rPr>
          <w:rFonts w:ascii="Times New Roman" w:hAnsi="Times New Roman" w:eastAsia="仿宋_GB2312"/>
          <w:sz w:val="32"/>
          <w:szCs w:val="32"/>
        </w:rPr>
        <w:t>mg/</w:t>
      </w:r>
      <w:r>
        <w:rPr>
          <w:rFonts w:hint="eastAsia" w:ascii="Times New Roman" w:hAnsi="Times New Roman" w:eastAsia="仿宋_GB2312"/>
          <w:sz w:val="32"/>
          <w:szCs w:val="32"/>
        </w:rPr>
        <w:t>k</w:t>
      </w:r>
      <w:r>
        <w:rPr>
          <w:rFonts w:ascii="Times New Roman" w:hAnsi="Times New Roman" w:eastAsia="仿宋_GB2312"/>
          <w:sz w:val="32"/>
          <w:szCs w:val="32"/>
        </w:rPr>
        <w:t>g）选育上取得突破；获植物新品种权3项以上；建立水稻新品种核心示范区3个以上，每个示范区连片面积100亩以上；新品种示范辐射推广35万亩以上，实现推广应用总产值4.2亿元以上；培养研究生2名或晋升高级职称4名，培训各类农技人员350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（2）建成玉米核心种质库1个；构建完善玉米遗传资源信息共享平台1个；在品质、抗逆性等方面精准鉴定玉米优异种质500份以上；创制粮饲通</w:t>
      </w:r>
      <w:r>
        <w:rPr>
          <w:rFonts w:hint="eastAsia" w:ascii="Times New Roman" w:hAnsi="Times New Roman" w:eastAsia="仿宋_GB2312"/>
          <w:sz w:val="32"/>
          <w:szCs w:val="32"/>
        </w:rPr>
        <w:t>（兼）</w:t>
      </w:r>
      <w:r>
        <w:rPr>
          <w:rFonts w:ascii="Times New Roman" w:hAnsi="Times New Roman" w:eastAsia="仿宋_GB2312"/>
          <w:sz w:val="32"/>
          <w:szCs w:val="32"/>
        </w:rPr>
        <w:t>用和鲜食玉米种质100份以上；育成玉米新品种10个以上（至少获得国家审定品种1个），其中在粮饲通</w:t>
      </w:r>
      <w:r>
        <w:rPr>
          <w:rFonts w:hint="eastAsia" w:ascii="Times New Roman" w:hAnsi="Times New Roman" w:eastAsia="仿宋_GB2312"/>
          <w:sz w:val="32"/>
          <w:szCs w:val="32"/>
        </w:rPr>
        <w:t>（兼）</w:t>
      </w:r>
      <w:r>
        <w:rPr>
          <w:rFonts w:ascii="Times New Roman" w:hAnsi="Times New Roman" w:eastAsia="仿宋_GB2312"/>
          <w:sz w:val="32"/>
          <w:szCs w:val="32"/>
        </w:rPr>
        <w:t>用玉米品种（2个）、鲜食玉米品种（1个）选育上取得突破；获植物新品种权2项以上；建立玉米新品种核心示范区3个以上，每个示范区连片面积100亩以上；新品种示范辐射推广15万亩以上，实现推广应用总产值1.8亿元以上；培养研究生1名或晋升高级职称3名，培训各类农技人员350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建成马铃薯和甘薯核心种质库各1个；构建完善薯类遗传资源信息共享平台1个，建设薯类育种平台1个；精准鉴定马铃薯和甘薯种质共600份以上；创制马铃薯、甘薯优异种质共60份以上；育成马铃薯新品种4个以上，甘薯新品种2个以上，其中在低多酚氧化酶活性马铃薯品种（1个，活性&lt;0.6</w:t>
      </w:r>
      <w:r>
        <w:rPr>
          <w:rFonts w:hint="eastAsia" w:ascii="Times New Roman" w:hAnsi="Times New Roman" w:eastAsia="仿宋_GB2312"/>
          <w:sz w:val="32"/>
          <w:szCs w:val="32"/>
        </w:rPr>
        <w:t xml:space="preserve"> </w:t>
      </w:r>
      <w:r>
        <w:rPr>
          <w:rFonts w:ascii="Times New Roman" w:hAnsi="Times New Roman" w:eastAsia="仿宋_GB2312"/>
          <w:sz w:val="32"/>
          <w:szCs w:val="32"/>
        </w:rPr>
        <w:t>U）、富硒甘薯品种（1个，硒含量0.02</w:t>
      </w:r>
      <w:r>
        <w:rPr>
          <w:rFonts w:hint="eastAsia" w:ascii="Times New Roman" w:hAnsi="Times New Roman" w:eastAsia="仿宋_GB2312"/>
          <w:sz w:val="32"/>
          <w:szCs w:val="32"/>
        </w:rPr>
        <w:t>~</w:t>
      </w:r>
      <w:r>
        <w:rPr>
          <w:rFonts w:ascii="Times New Roman" w:hAnsi="Times New Roman" w:eastAsia="仿宋_GB2312"/>
          <w:sz w:val="32"/>
          <w:szCs w:val="32"/>
        </w:rPr>
        <w:t>0.2</w:t>
      </w:r>
      <w:r>
        <w:rPr>
          <w:rFonts w:hint="eastAsia" w:ascii="Times New Roman" w:hAnsi="Times New Roman" w:eastAsia="仿宋_GB2312"/>
          <w:sz w:val="32"/>
          <w:szCs w:val="32"/>
        </w:rPr>
        <w:t xml:space="preserve"> </w:t>
      </w:r>
      <w:r>
        <w:rPr>
          <w:rFonts w:ascii="Times New Roman" w:hAnsi="Times New Roman" w:eastAsia="仿宋_GB2312"/>
          <w:sz w:val="32"/>
          <w:szCs w:val="32"/>
        </w:rPr>
        <w:t>mg/</w:t>
      </w:r>
      <w:r>
        <w:rPr>
          <w:rFonts w:hint="eastAsia" w:ascii="Times New Roman" w:hAnsi="Times New Roman" w:eastAsia="仿宋_GB2312"/>
          <w:sz w:val="32"/>
          <w:szCs w:val="32"/>
        </w:rPr>
        <w:t>k</w:t>
      </w:r>
      <w:r>
        <w:rPr>
          <w:rFonts w:ascii="Times New Roman" w:hAnsi="Times New Roman" w:eastAsia="仿宋_GB2312"/>
          <w:sz w:val="32"/>
          <w:szCs w:val="32"/>
        </w:rPr>
        <w:t>g FW）选育上取得突破；建立马铃薯和甘薯新品种核心示范区各1个以上，每个示范区面积300亩以上；建设脱毒种薯繁育基地各1个以上，每个面积100亩以上，总面积300亩以上；新品种示范辐射推广1万亩以上</w:t>
      </w:r>
      <w:r>
        <w:rPr>
          <w:rFonts w:hint="eastAsia" w:ascii="Times New Roman" w:hAnsi="Times New Roman" w:eastAsia="仿宋_GB2312"/>
          <w:sz w:val="32"/>
          <w:szCs w:val="32"/>
        </w:rPr>
        <w:t>，</w:t>
      </w:r>
      <w:r>
        <w:rPr>
          <w:rFonts w:ascii="Times New Roman" w:hAnsi="Times New Roman" w:eastAsia="仿宋_GB2312"/>
          <w:sz w:val="32"/>
          <w:szCs w:val="32"/>
        </w:rPr>
        <w:t>实现推广应用总产值0.5亿元以上；培养研究生3名或晋升高级职称3名，培训各类农技人员300人次以上；制定标准2项以上。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资助经费：每个作物种类资助经费不超过1200万元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本方向以公开择优方式遴选项目。申报单位可选择某一作物种类进行申报，高校、科研院所、企业均可申报，鼓励产学研用联合申报。其中，企业牵头申报的项目须配套经费不低于（1:3），企业作为项目参与单位须配套经费不低于（1:1）。本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4" w:name="_Toc83570546"/>
      <w:r>
        <w:rPr>
          <w:rFonts w:ascii="Times New Roman" w:hAnsi="Times New Roman" w:eastAsia="仿宋_GB2312"/>
          <w:b/>
          <w:sz w:val="32"/>
          <w:szCs w:val="32"/>
        </w:rPr>
        <w:t>方向</w:t>
      </w:r>
      <w:r>
        <w:rPr>
          <w:rFonts w:hint="eastAsia" w:ascii="Times New Roman" w:hAnsi="Times New Roman" w:eastAsia="仿宋_GB2312"/>
          <w:b/>
          <w:sz w:val="32"/>
          <w:szCs w:val="32"/>
        </w:rPr>
        <w:t>2</w:t>
      </w:r>
      <w:r>
        <w:rPr>
          <w:rFonts w:ascii="Times New Roman" w:hAnsi="Times New Roman" w:eastAsia="仿宋_GB2312"/>
          <w:b/>
          <w:sz w:val="32"/>
          <w:szCs w:val="32"/>
        </w:rPr>
        <w:t>：广西优势特色水果新品种选育及示范应用</w:t>
      </w:r>
      <w:bookmarkEnd w:id="174"/>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w:t>
      </w:r>
      <w:r>
        <w:rPr>
          <w:rFonts w:ascii="Times New Roman" w:hAnsi="Times New Roman" w:eastAsia="仿宋_GB2312"/>
          <w:sz w:val="32"/>
          <w:szCs w:val="32"/>
        </w:rPr>
        <w:t>围绕柑橘、香蕉、荔枝、龙眼、芒果、火龙果、百香果、菠萝、葡萄、猕猴桃等十大优势特色水果，引进国内外特异种质资源，开展种质创新、新品种选育、良种繁育及配套栽培关键技术等研究，完善种业科技创新平台建设，培养高水平种业创新人才，创造有重大应用前景的新种质，选育具有市场竞争力的突破性新品种，开展扩繁及示范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收集、保存柑橘种质资源80份以上，其中筛选鉴定具抗（耐）病、耐贮运等优良性状的优异种质资源10份以上；挖掘和鉴定与熟期、品质、抗性等重要性状相关的具有重要利用价值关键基因1个以上；选育高产优质早熟无核柚子和宽皮柑橘新品种各1个；研发集成柑橘高效繁育关键技术1项；建设完善柑橘种质资源圃1个；建立柑橘良种及健康种苗繁育基地1个，</w:t>
      </w:r>
      <w:r>
        <w:rPr>
          <w:rFonts w:ascii="Times New Roman" w:hAnsi="Times New Roman" w:eastAsia="仿宋_GB2312"/>
          <w:color w:val="000000"/>
          <w:sz w:val="32"/>
          <w:szCs w:val="32"/>
        </w:rPr>
        <w:t>繁育</w:t>
      </w:r>
      <w:r>
        <w:rPr>
          <w:rFonts w:ascii="Times New Roman" w:hAnsi="Times New Roman" w:eastAsia="仿宋_GB2312"/>
          <w:sz w:val="32"/>
          <w:szCs w:val="32"/>
        </w:rPr>
        <w:t>柑橘</w:t>
      </w:r>
      <w:r>
        <w:rPr>
          <w:rFonts w:hint="eastAsia" w:ascii="Times New Roman" w:hAnsi="Times New Roman" w:eastAsia="仿宋_GB2312"/>
          <w:sz w:val="32"/>
          <w:szCs w:val="32"/>
        </w:rPr>
        <w:t>苗木</w:t>
      </w:r>
      <w:r>
        <w:rPr>
          <w:rFonts w:ascii="Times New Roman" w:hAnsi="Times New Roman" w:eastAsia="仿宋_GB2312"/>
          <w:sz w:val="32"/>
          <w:szCs w:val="32"/>
        </w:rPr>
        <w:t>50万株以上；建立柑橘新品种、新技术应用示范基地2个，每个100亩以上，辐射推广5000亩以上，实现推广应用产值4000万元以上；培养研究生或晋升高级职称1名以上，培训各类农技人员200人次以上。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收集、保存香蕉种质资源80份以上，其中筛选鉴定具抗（耐）病、耐贮运等优良性状的优异种质资源10份以上；挖掘和鉴定与熟期、品质、抗性等重要性状相关的具有重要利用价值关键基因1个以上；选育高产优质且早熟、抗枯萎病、中矮秆香蕉新品种1个；研发集成香蕉新品种高产优质高效栽培关键技术1项，产量比对照增产5%以上</w:t>
      </w:r>
      <w:r>
        <w:rPr>
          <w:rFonts w:hint="eastAsia" w:ascii="Times New Roman" w:hAnsi="Times New Roman" w:eastAsia="仿宋_GB2312"/>
          <w:sz w:val="32"/>
          <w:szCs w:val="32"/>
        </w:rPr>
        <w:t>；</w:t>
      </w:r>
      <w:r>
        <w:rPr>
          <w:rFonts w:ascii="Times New Roman" w:hAnsi="Times New Roman" w:eastAsia="仿宋_GB2312"/>
          <w:sz w:val="32"/>
          <w:szCs w:val="32"/>
        </w:rPr>
        <w:t>建设完善香蕉种质资源圃1个；建立香蕉良种及健康种苗繁育基地1个，繁育香蕉果苗100万株以上；建立香蕉新品种、新技术应用示范基地100亩以上，辐射推广5000亩以上，实现推广应用产值4000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（3）收集、保存荔枝种质资源80份以上，其中筛选鉴定具抗（耐）病、耐贮运等优良性状的优异种质资源10份以上；挖掘和鉴定与熟期、品质、抗性等重要性状相关的具有重要利用价值关键基因1个以上</w:t>
      </w:r>
      <w:r>
        <w:rPr>
          <w:rFonts w:hint="eastAsia" w:ascii="Times New Roman" w:hAnsi="Times New Roman" w:eastAsia="仿宋_GB2312"/>
          <w:sz w:val="32"/>
          <w:szCs w:val="32"/>
        </w:rPr>
        <w:t>；</w:t>
      </w:r>
      <w:r>
        <w:rPr>
          <w:rFonts w:ascii="Times New Roman" w:hAnsi="Times New Roman" w:eastAsia="仿宋_GB2312"/>
          <w:sz w:val="32"/>
          <w:szCs w:val="32"/>
        </w:rPr>
        <w:t>选育高产优质且晚熟荔枝新品种1个；研发集成荔枝新品种高产优质高效栽培关键技术1项，产量比对照增产5%以上</w:t>
      </w:r>
      <w:r>
        <w:rPr>
          <w:rFonts w:hint="eastAsia" w:ascii="Times New Roman" w:hAnsi="Times New Roman" w:eastAsia="仿宋_GB2312"/>
          <w:sz w:val="32"/>
          <w:szCs w:val="32"/>
        </w:rPr>
        <w:t>；</w:t>
      </w:r>
      <w:r>
        <w:rPr>
          <w:rFonts w:ascii="Times New Roman" w:hAnsi="Times New Roman" w:eastAsia="仿宋_GB2312"/>
          <w:sz w:val="32"/>
          <w:szCs w:val="32"/>
        </w:rPr>
        <w:t>建设完善荔枝种质资源圃1个；建立荔枝良种及健康种苗繁育基地1个，繁育荔枝果苗2万株以上；建立荔枝新品种、新技术应用示范基地100亩以上，辐射推广5000亩以上，实现推广应用产值3000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收集、保存龙眼种质资源80份以上，其中筛选鉴定具抗（耐）病、耐贮运等优良性状的优异种质资源10份以上；挖掘和鉴定与熟期、品质、抗性等重要性状相关的具有重要利用价值关键基因1个以上；选育高产优质且早熟或晚熟龙眼新品种1个；研发集成龙眼新品种高产优质高效栽培关键技术1项，产量比对照增产5%以上</w:t>
      </w:r>
      <w:r>
        <w:rPr>
          <w:rFonts w:hint="eastAsia" w:ascii="Times New Roman" w:hAnsi="Times New Roman" w:eastAsia="仿宋_GB2312"/>
          <w:sz w:val="32"/>
          <w:szCs w:val="32"/>
        </w:rPr>
        <w:t>；</w:t>
      </w:r>
      <w:r>
        <w:rPr>
          <w:rFonts w:ascii="Times New Roman" w:hAnsi="Times New Roman" w:eastAsia="仿宋_GB2312"/>
          <w:sz w:val="32"/>
          <w:szCs w:val="32"/>
        </w:rPr>
        <w:t>建设完善龙眼种质资源圃1个；建立龙眼良种及健康种苗繁育基地1个，繁育龙眼果苗1万株以上；建立龙眼新品种、新技术应用示范基地100亩以上，辐射推广5000亩以上，实现推广应用产值1800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收集、保存芒果种质资源80份以上，其中筛选鉴定具抗（耐）病、耐贮运等优良性状的优异种质资源10份以上；挖掘和鉴定与熟期、品质、抗性等重要性状相关的具有重要利用价值关键基因1个以上；选育高产优质抗病的中晚熟芒果新品种1个；研发集成芒果新品种高产优质高效栽培关键技术1项，产量比对照增产5%以上；建设完善芒果种质资源圃1个；建立芒果良种及健康种苗繁育基地1个，繁育芒果果苗2万株以上；建立芒果新品种、新技术应用示范基地100亩以上，辐射推广5000亩以上，实现推广应用产值3500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收集、保存火龙果种质资源80份以上，其中筛选鉴定具抗（耐）病、耐贮运等优良性状的优异种质资源10份以上；挖掘和鉴定与熟期、品质、抗性等重要性状相关的具有重要利用价值关键基因1个以上；选育高产优质且自花授粉白肉火龙果新品种1个；研发集成火龙果高效繁育关键技术1项；建设完善火龙果种质资源圃1个；建立火龙果良种及健康种苗繁育基地1个，繁育火龙果果苗10万株以上；建立火龙果新品种、新技术应用示范基地100亩以上，辐射推广5000亩以上，实现推广应用产值4500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7）收集、保存百香果种质资源80份以上，其中筛选鉴定具抗（耐）病、耐贮运等优良性状的优异种质资源10份以上；挖掘和鉴定与熟期、品质、抗性等重要性状相关的具有重要利用价值关键基因1个以上；选育高产优质且耐高温百香果新品种1个；研发集成百香果高效繁育关键技术1项；建设完善百香果种质资源圃1个；建立百香果良种及健康种苗繁育基地1个，繁育百香果果苗100万株以上；建立百香果新品种、新技术应用示范基地100亩以上，辐射推广5000亩以上，实现推广应用产值3500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收集、保存菠萝种质资源80份以上，其中筛选鉴定具抗（耐）病、耐贮运等优良性状的优异种质资源10份以上；挖掘和鉴定与熟期、品质、抗性等重要性状相关的具有重要利用价值关键基因1个以上；选育高产优质且熟期调控至5-6月或9-12月上市的菠萝新品种1个；研发集成菠萝新品种高产优质高效栽培关键技术1项，产量比对照增产5%以上；建设完善菠萝种质资源圃1个；建立菠萝良种及健康种苗繁育基地1个，繁育菠萝果苗2万株以上；建立菠萝新品种、新技术应用示范基地100亩以上，辐射推广5000亩以上，实现推广应用产值5000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9）收集、保存葡萄种质资源80份以上，其中筛选鉴定具抗病（耐）、低需冷量、耐贮存等特、优良性状的优异种质资源10份以上；挖掘和鉴定与熟期、品质、抗性等重要性状相关的具有重要利用价值关键基因1个以上；选育高产优质且耐热、易转色葡萄新品种1个；建立葡萄良种及健康种苗繁育基地1个，繁育葡萄果苗10万株以上；研发集成葡萄高效繁育关键技术1项</w:t>
      </w:r>
      <w:r>
        <w:rPr>
          <w:rFonts w:hint="eastAsia" w:ascii="Times New Roman" w:hAnsi="Times New Roman" w:eastAsia="仿宋_GB2312"/>
          <w:sz w:val="32"/>
          <w:szCs w:val="32"/>
        </w:rPr>
        <w:t>；</w:t>
      </w:r>
      <w:r>
        <w:rPr>
          <w:rFonts w:ascii="Times New Roman" w:hAnsi="Times New Roman" w:eastAsia="仿宋_GB2312"/>
          <w:sz w:val="32"/>
          <w:szCs w:val="32"/>
        </w:rPr>
        <w:t>建设完善葡萄种质资源圃1个；建立葡萄新品种、新技术应用示范基地100亩以上，辐射推广5000亩以上，实现推广应用产值3500万元以上；培养研究生或晋升高级职称1名以上，培训各类农技人员200人次以上。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10）收集、保存猕猴桃种质资源80份以上，其中筛选鉴定具抗（耐）病、低需冷量、耐贮存等特、优良性状的优异种质资源10份以上；挖掘和鉴定与熟期、品质、抗性等重要性状相关的具有重要利用价值关键基因1个以上；选育高产优质且抗溃疡病猕猴桃新品种1个；研发集成猕猴桃高效繁育关键技术1项；建设完善猕猴桃种质资源圃1个；建立猕猴桃良种及健康种苗繁育基地1个，繁育猕猴桃果苗1万株以上；建立猕猴桃新品种、新技术应用示范基地100亩以上，辐射推广5000亩以上，实现推广应用产值3500万元以上；培养研究生或晋升高级职称1名以上，培训各类农技人员200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（11）构建优势特色水果种质资源遗传信息管理及数据共享平台1个，实现表型-基因型数据共享1000份以上。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资助经费：每个作物种类资助经费不超过</w:t>
      </w:r>
      <w:r>
        <w:rPr>
          <w:rFonts w:hint="eastAsia" w:ascii="Times New Roman" w:hAnsi="Times New Roman" w:eastAsia="仿宋_GB2312"/>
          <w:sz w:val="32"/>
          <w:szCs w:val="32"/>
        </w:rPr>
        <w:t>500</w:t>
      </w:r>
      <w:r>
        <w:rPr>
          <w:rFonts w:ascii="Times New Roman" w:hAnsi="Times New Roman" w:eastAsia="仿宋_GB2312"/>
          <w:sz w:val="32"/>
          <w:szCs w:val="32"/>
        </w:rPr>
        <w:t>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本方向以公开择优方式遴选项目。申报单位可选择作物种类自主申报，高校、科研院所、企业均可申报，鼓励产学研用联合申报。其中，企业牵头申报的项目须配套经费不低于（1:3），企业作为项目参与单位须配套经费不低于（1:1）。本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5" w:name="_Toc83570547"/>
      <w:r>
        <w:rPr>
          <w:rFonts w:ascii="Times New Roman" w:hAnsi="Times New Roman" w:eastAsia="仿宋_GB2312"/>
          <w:b/>
          <w:sz w:val="32"/>
          <w:szCs w:val="32"/>
        </w:rPr>
        <w:t>方向</w:t>
      </w:r>
      <w:r>
        <w:rPr>
          <w:rFonts w:hint="eastAsia" w:ascii="Times New Roman" w:hAnsi="Times New Roman" w:eastAsia="仿宋_GB2312"/>
          <w:b/>
          <w:sz w:val="32"/>
          <w:szCs w:val="32"/>
        </w:rPr>
        <w:t>3</w:t>
      </w:r>
      <w:r>
        <w:rPr>
          <w:rFonts w:ascii="Times New Roman" w:hAnsi="Times New Roman" w:eastAsia="仿宋_GB2312"/>
          <w:b/>
          <w:sz w:val="32"/>
          <w:szCs w:val="32"/>
        </w:rPr>
        <w:t>：广西主栽蔬菜新品种选育及示范应用</w:t>
      </w:r>
      <w:bookmarkEnd w:id="175"/>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w:t>
      </w:r>
      <w:r>
        <w:rPr>
          <w:rFonts w:ascii="Times New Roman" w:hAnsi="Times New Roman" w:eastAsia="仿宋_GB2312"/>
          <w:sz w:val="32"/>
          <w:szCs w:val="32"/>
        </w:rPr>
        <w:t>开展九大蔬菜种质资源创制和育种技术攻关，重点支持种质资源的鉴定评价，建立蔬菜种质资源数据库，挖掘具有重要育种价值的核心基因，构建蔬菜高效分子育种技术体系，培育具有突破性的耐热、抗青枯病、抗病毒病的番茄、茄子新品种和优质、耐抽薹、抗根肿病的白菜、萝卜新品种以及高品质、耐贮运的冬瓜、南瓜、苦瓜、豇豆、芋头新品种，开展扩繁及示范应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精准鉴定番茄种质资源600份，筛选出具有抗病性、耐热等优异性状材料50份以上；创制聚合抗病和优异性状番茄新种质60份；研发番茄高效育种技术2项以上；获得重要性状核心基因3个，开发具有重要利用价值标记3个；育成抗黄化曲叶病毒、抗青枯病番茄新品种4个，并获得品种登记或植物新品种权，新品种比当地主栽品种增产8%以上；建立100亩以上番茄新品种种植示范基地3个，新品种推广应用2万亩以上，实现推广应用产值32000万元以上；培养研究生或晋升高级职称2名，培训各类农技人员600人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精准鉴定茄子种质资源600份，筛选出具有抗病性、耐热等优异性状材料50份以上；创制聚合抗病和优异性状茄子新种质60份；研发茄子高效育种技术3项以上；获得重要性状核心基因3个，开发具有重要利用价值标记3个；育成抗青枯病、耐热3级的茄子新品种4个，并获植物新品种权，新品种比当地主栽品种增产8%以上；建立100亩以上茄子新品种种植示范基地3个，新品种推广应用2万亩以上，实现推广应用产值12000万元以上；培养研究生或职称晋升高级职称2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（3）精准鉴定白菜种质资源300份，筛选出具有抗病性、耐抽薹等优异性状材料10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白菜新种质10份；研发白菜高效育种技术1项以上；获得重要性状核心基因1个，开发具有重要利用价值标记1个；育成优质、耐抽薹、抗根肿病的优质白菜新品种2个，并获得品种登记或植物新品种权，新品种比当地主栽品种增产8%以上；建立100亩以上白菜新品种种植示范基地2个，新品种推广应用2万亩以上，实现推广应用产值6400万元以上；培养研究生或职称晋升高级职称1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（4）精准鉴定萝卜种质资源300份，筛选出具有抗病性、耐抽薹等优异性状材料10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萝卜新种质10份；研发萝卜高效育种技术1项以上；获得重要性状核心基因1个，开发具有重要利用价值标记1个；育成优质、耐抽薹、抗根肿病的优质萝卜新品种2个，并获植物新品种权，新品种比当地主栽品种增产8%以上；建立100亩以上萝卜新品种种植示范基地2个，新品种推广应用2万亩以上，实现推广应用产值6000万元以上；培养研究生1名或晋升高级职称1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（5）精准鉴定冬瓜种质资源300份，筛选出具有抗病性、早熟、耐贮运等优异性状材料10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冬瓜新种质10份；研发冬瓜高效育种技术1项以上；获得重要性状核心基因1个，开发具有重要利用价值标记1个；育成高品质的冬瓜新品种2个，并获植物新品种权，新品种比当地主栽品种增产8%以上，抗枯萎病，坐果后20天完成转色并可采收；建立100亩以上冬瓜新品种种植示范基地2个，新品种推广应用2万亩以上，实现推广应用产值22400万元以上；职称晋升高级职称1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（6）精准鉴定南瓜种质资源200份，筛选出具有抗病性、早熟、耐贮运等优异性状材料10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南瓜新种质10份；研发南瓜高效育种技术1项以上；育成高品质、早熟的南瓜新品种2个，并获植物新品种权，新品种比当地主栽品种增产8%以上，早熟品种比目前主栽品种提早7天采收、淀粉含量大于8%；建立100亩以上南瓜新品种种植示范基地2个，新品种推广应用2万亩以上，实现推广应用产值3600万元以上；职称晋升高级职称1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（7）精准鉴定苦瓜种质资源300份，筛选出具有抗病性、早熟、耐贮运等优异性状材料10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苦瓜新种质10份；研发苦瓜高效育种技术1项以上；获得重要性状核心基因1个，开发具有重要利用价值标记1个；育成苦瓜新品种2个，并获植物新品种权，新品种抗枯萎病、早熟、越夏栽培商品率90%以上；建立100亩以上苦瓜新品种种植示范基地2个，新品种推广应用2万亩以上，实现推广应用产值18000万元以上；职称晋升高级职称1名；培训各类农技人员600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（8）精准鉴定豇豆种质资源200份，筛选出具有抗病性、早熟、耐贮运等优异性状材料10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豇豆新种质10份；育成豇豆新品种1个，并获植物新品种权，新品种比当地主栽品种增产8%以上，新品种嫩荚采收期50天以上，比目前主栽品种延长10天；建立100亩以上豇豆新品种种植示范基地2个，新品种推广应用2万亩以上</w:t>
      </w:r>
      <w:r>
        <w:rPr>
          <w:rFonts w:hint="eastAsia" w:ascii="Times New Roman" w:hAnsi="Times New Roman" w:eastAsia="仿宋_GB2312"/>
          <w:sz w:val="32"/>
          <w:szCs w:val="32"/>
        </w:rPr>
        <w:t>，</w:t>
      </w:r>
      <w:r>
        <w:rPr>
          <w:rFonts w:ascii="Times New Roman" w:hAnsi="Times New Roman" w:eastAsia="仿宋_GB2312"/>
          <w:sz w:val="32"/>
          <w:szCs w:val="32"/>
        </w:rPr>
        <w:t>实现推广应用产值12000万元以上；职称晋升高级职称1名；培训各类农技人员400人次以上。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（9）精准鉴定芋头种质资源200份，筛选出具有抗病性、早熟、耐贮运等优异性状材料10</w:t>
      </w:r>
      <w:r>
        <w:rPr>
          <w:rFonts w:hint="eastAsia" w:ascii="Times New Roman" w:hAnsi="Times New Roman" w:eastAsia="仿宋_GB2312"/>
          <w:sz w:val="32"/>
          <w:szCs w:val="32"/>
        </w:rPr>
        <w:t>~</w:t>
      </w:r>
      <w:r>
        <w:rPr>
          <w:rFonts w:ascii="Times New Roman" w:hAnsi="Times New Roman" w:eastAsia="仿宋_GB2312"/>
          <w:sz w:val="32"/>
          <w:szCs w:val="32"/>
        </w:rPr>
        <w:t>20份；创制聚合抗病和优异性状芋头新种质10份；育成芋头新品种1个，并获植物新品种权，新品种比当地主栽品种增产8%以上，新品种抗疫病、早熟，比目前主栽品种提早20天采收；建立100亩以上芋头新品种种植示范基地2个，新品种推广应用2万亩以上，实现推广应用产值17500万元以上；培训各类农技人员400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（10）构建蔬菜种质资源遗传信息共享和育种服务平台1个。</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资助经费：每个作物种类资助经费不超过</w:t>
      </w:r>
      <w:r>
        <w:rPr>
          <w:rFonts w:hint="eastAsia" w:ascii="Times New Roman" w:hAnsi="Times New Roman" w:eastAsia="仿宋_GB2312"/>
          <w:sz w:val="32"/>
          <w:szCs w:val="32"/>
        </w:rPr>
        <w:t>5</w:t>
      </w:r>
      <w:r>
        <w:rPr>
          <w:rFonts w:ascii="Times New Roman" w:hAnsi="Times New Roman" w:eastAsia="仿宋_GB2312"/>
          <w:sz w:val="32"/>
          <w:szCs w:val="32"/>
        </w:rPr>
        <w:t>00万元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本方向以公开择优方式遴选项目。申报单位可选择作物种类自主申报，高校、科研院所、企业均可申报，鼓励产学研用联合申报。其中，企业牵头申报的项目须配套经费不低于（1:3），企业作为项目参与单位须配套经费不低于（1:1）。本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6" w:name="_Toc83570548"/>
      <w:r>
        <w:rPr>
          <w:rFonts w:ascii="Times New Roman" w:hAnsi="Times New Roman" w:eastAsia="仿宋_GB2312"/>
          <w:b/>
          <w:sz w:val="32"/>
          <w:szCs w:val="32"/>
        </w:rPr>
        <w:t>方向</w:t>
      </w:r>
      <w:r>
        <w:rPr>
          <w:rFonts w:hint="eastAsia" w:ascii="Times New Roman" w:hAnsi="Times New Roman" w:eastAsia="仿宋_GB2312"/>
          <w:b/>
          <w:sz w:val="32"/>
          <w:szCs w:val="32"/>
        </w:rPr>
        <w:t>4</w:t>
      </w:r>
      <w:r>
        <w:rPr>
          <w:rFonts w:ascii="Times New Roman" w:hAnsi="Times New Roman" w:eastAsia="仿宋_GB2312"/>
          <w:b/>
          <w:sz w:val="32"/>
          <w:szCs w:val="32"/>
        </w:rPr>
        <w:t>：广西六堡茶产业高质量发展关键技术研发与应用</w:t>
      </w:r>
      <w:bookmarkEnd w:id="176"/>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hint="eastAsia" w:ascii="Times New Roman" w:hAnsi="Times New Roman" w:eastAsia="仿宋_GB2312"/>
          <w:b/>
          <w:sz w:val="32"/>
          <w:szCs w:val="32"/>
        </w:rPr>
        <w:t>子方向</w:t>
      </w:r>
      <w:r>
        <w:rPr>
          <w:rFonts w:ascii="Times New Roman" w:hAnsi="Times New Roman" w:eastAsia="仿宋_GB2312"/>
          <w:b/>
          <w:sz w:val="32"/>
          <w:szCs w:val="32"/>
        </w:rPr>
        <w:t>1</w:t>
      </w:r>
      <w:r>
        <w:rPr>
          <w:rFonts w:hint="eastAsia" w:ascii="Times New Roman" w:hAnsi="Times New Roman" w:eastAsia="仿宋_GB2312"/>
          <w:b/>
          <w:sz w:val="32"/>
          <w:szCs w:val="32"/>
        </w:rPr>
        <w:t>：</w:t>
      </w:r>
      <w:r>
        <w:rPr>
          <w:rFonts w:ascii="Times New Roman" w:hAnsi="Times New Roman" w:eastAsia="仿宋_GB2312"/>
          <w:b/>
          <w:sz w:val="32"/>
          <w:szCs w:val="32"/>
        </w:rPr>
        <w:t>六堡茶</w:t>
      </w:r>
      <w:r>
        <w:rPr>
          <w:rFonts w:hint="eastAsia" w:ascii="Times New Roman" w:hAnsi="Times New Roman" w:eastAsia="仿宋_GB2312"/>
          <w:b/>
          <w:sz w:val="32"/>
          <w:szCs w:val="32"/>
        </w:rPr>
        <w:t>茶树种质资源创新与利用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开展广西六堡茶茶树种质资源的收集、鉴定、评价，利用传统技术结合分子生物学技术构建六堡茶茶树核心种质群体；开展种质的创新利用，选育特异性、功能性六堡茶茶树新品种；研究广适性六堡茶茶树嫁接组合，建立嫁接换种等实用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考核指标：建立广西六堡茶</w:t>
      </w:r>
      <w:r>
        <w:rPr>
          <w:rFonts w:hint="eastAsia" w:ascii="Times New Roman" w:hAnsi="Times New Roman" w:eastAsia="仿宋_GB2312"/>
          <w:sz w:val="32"/>
          <w:szCs w:val="32"/>
        </w:rPr>
        <w:t>茶树</w:t>
      </w:r>
      <w:r>
        <w:rPr>
          <w:rFonts w:ascii="Times New Roman" w:hAnsi="Times New Roman" w:eastAsia="仿宋_GB2312"/>
          <w:sz w:val="32"/>
          <w:szCs w:val="32"/>
        </w:rPr>
        <w:t>核心种质资源圃1个，</w:t>
      </w:r>
      <w:r>
        <w:rPr>
          <w:rFonts w:hint="eastAsia" w:ascii="Times New Roman" w:hAnsi="Times New Roman" w:eastAsia="仿宋_GB2312"/>
          <w:sz w:val="32"/>
          <w:szCs w:val="32"/>
        </w:rPr>
        <w:t>评价保存</w:t>
      </w:r>
      <w:r>
        <w:rPr>
          <w:rFonts w:ascii="Times New Roman" w:hAnsi="Times New Roman" w:eastAsia="仿宋_GB2312"/>
          <w:sz w:val="32"/>
          <w:szCs w:val="32"/>
        </w:rPr>
        <w:t>广西六堡茶</w:t>
      </w:r>
      <w:r>
        <w:rPr>
          <w:rFonts w:hint="eastAsia" w:ascii="Times New Roman" w:hAnsi="Times New Roman" w:eastAsia="仿宋_GB2312"/>
          <w:sz w:val="32"/>
          <w:szCs w:val="32"/>
        </w:rPr>
        <w:t>茶树</w:t>
      </w:r>
      <w:r>
        <w:rPr>
          <w:rFonts w:ascii="Times New Roman" w:hAnsi="Times New Roman" w:eastAsia="仿宋_GB2312"/>
          <w:sz w:val="32"/>
          <w:szCs w:val="32"/>
        </w:rPr>
        <w:t>核心种质资源50份以上；筛选出高水浸出物、高茶多酚、低咖啡因、适宜机采等特异性、功能性</w:t>
      </w:r>
      <w:r>
        <w:rPr>
          <w:rFonts w:hint="eastAsia" w:ascii="Times New Roman" w:hAnsi="Times New Roman" w:eastAsia="仿宋_GB2312"/>
          <w:sz w:val="32"/>
          <w:szCs w:val="32"/>
        </w:rPr>
        <w:t>六堡茶茶树</w:t>
      </w:r>
      <w:r>
        <w:rPr>
          <w:rFonts w:ascii="Times New Roman" w:hAnsi="Times New Roman" w:eastAsia="仿宋_GB2312"/>
          <w:sz w:val="32"/>
          <w:szCs w:val="32"/>
        </w:rPr>
        <w:t>新品系10个以上，其中新品种3个以上；筛选出</w:t>
      </w:r>
      <w:r>
        <w:rPr>
          <w:rFonts w:hint="eastAsia" w:ascii="Times New Roman" w:hAnsi="Times New Roman" w:eastAsia="仿宋_GB2312"/>
          <w:sz w:val="32"/>
          <w:szCs w:val="32"/>
        </w:rPr>
        <w:t>适宜在</w:t>
      </w:r>
      <w:r>
        <w:rPr>
          <w:rFonts w:ascii="Times New Roman" w:hAnsi="Times New Roman" w:eastAsia="仿宋_GB2312"/>
          <w:sz w:val="32"/>
          <w:szCs w:val="32"/>
        </w:rPr>
        <w:t>广西推广的六堡茶</w:t>
      </w:r>
      <w:r>
        <w:rPr>
          <w:rFonts w:hint="eastAsia" w:ascii="Times New Roman" w:hAnsi="Times New Roman" w:eastAsia="仿宋_GB2312"/>
          <w:sz w:val="32"/>
          <w:szCs w:val="32"/>
        </w:rPr>
        <w:t>茶树嫁接组合</w:t>
      </w:r>
      <w:r>
        <w:rPr>
          <w:rFonts w:ascii="Times New Roman" w:hAnsi="Times New Roman" w:eastAsia="仿宋_GB2312"/>
          <w:sz w:val="32"/>
          <w:szCs w:val="32"/>
        </w:rPr>
        <w:t>5组以上，建立嫁接换种示范点3个，累计</w:t>
      </w:r>
      <w:r>
        <w:rPr>
          <w:rFonts w:hint="eastAsia" w:ascii="Times New Roman" w:hAnsi="Times New Roman" w:eastAsia="仿宋_GB2312"/>
          <w:sz w:val="32"/>
          <w:szCs w:val="32"/>
        </w:rPr>
        <w:t>面积</w:t>
      </w:r>
      <w:r>
        <w:rPr>
          <w:rFonts w:ascii="Times New Roman" w:hAnsi="Times New Roman" w:eastAsia="仿宋_GB2312"/>
          <w:sz w:val="32"/>
          <w:szCs w:val="32"/>
        </w:rPr>
        <w:t>200亩以上，辐射带动老旧茶园换种改造，示范茶园生产综合效益提升30%以上；晋升高级职称2名以上，培训各类农技人员及茶农</w:t>
      </w:r>
      <w:r>
        <w:rPr>
          <w:rFonts w:hint="eastAsia" w:ascii="Times New Roman" w:hAnsi="Times New Roman" w:eastAsia="仿宋_GB2312"/>
          <w:sz w:val="32"/>
          <w:szCs w:val="32"/>
        </w:rPr>
        <w:t>5</w:t>
      </w:r>
      <w:r>
        <w:rPr>
          <w:rFonts w:ascii="Times New Roman" w:hAnsi="Times New Roman" w:eastAsia="仿宋_GB2312"/>
          <w:sz w:val="32"/>
          <w:szCs w:val="32"/>
        </w:rPr>
        <w:t>00人；制定广西地方标准1项以上</w:t>
      </w:r>
      <w:r>
        <w:rPr>
          <w:rFonts w:hint="eastAsia" w:ascii="Times New Roman" w:hAnsi="Times New Roman" w:eastAsia="仿宋_GB2312"/>
          <w:sz w:val="32"/>
          <w:szCs w:val="32"/>
        </w:rPr>
        <w:t>；</w:t>
      </w:r>
      <w:r>
        <w:rPr>
          <w:rFonts w:ascii="Times New Roman" w:hAnsi="Times New Roman" w:eastAsia="仿宋_GB2312"/>
          <w:sz w:val="32"/>
          <w:szCs w:val="32"/>
        </w:rPr>
        <w:t>获授权专利</w:t>
      </w:r>
      <w:r>
        <w:rPr>
          <w:rFonts w:hint="eastAsia" w:ascii="Times New Roman" w:hAnsi="Times New Roman" w:eastAsia="仿宋_GB2312"/>
          <w:sz w:val="32"/>
          <w:szCs w:val="32"/>
        </w:rPr>
        <w:t>2</w:t>
      </w:r>
      <w:r>
        <w:rPr>
          <w:rFonts w:ascii="Times New Roman" w:hAnsi="Times New Roman" w:eastAsia="仿宋_GB2312"/>
          <w:sz w:val="32"/>
          <w:szCs w:val="32"/>
        </w:rPr>
        <w:t>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资助经费：不超过</w:t>
      </w:r>
      <w:r>
        <w:rPr>
          <w:rFonts w:hint="eastAsia" w:ascii="Times New Roman" w:hAnsi="Times New Roman" w:eastAsia="仿宋_GB2312"/>
          <w:sz w:val="32"/>
          <w:szCs w:val="32"/>
        </w:rPr>
        <w:t>500</w:t>
      </w:r>
      <w:r>
        <w:rPr>
          <w:rFonts w:ascii="Times New Roman" w:hAnsi="Times New Roman" w:eastAsia="仿宋_GB2312"/>
          <w:sz w:val="32"/>
          <w:szCs w:val="32"/>
        </w:rPr>
        <w:t>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相关说明：公开择优</w:t>
      </w:r>
      <w:r>
        <w:rPr>
          <w:rFonts w:hint="eastAsia" w:ascii="Times New Roman" w:hAnsi="Times New Roman" w:eastAsia="仿宋_GB2312"/>
          <w:sz w:val="32"/>
          <w:szCs w:val="32"/>
        </w:rPr>
        <w:t>。</w:t>
      </w:r>
      <w:r>
        <w:rPr>
          <w:rFonts w:ascii="Times New Roman" w:hAnsi="Times New Roman" w:eastAsia="仿宋_GB2312"/>
          <w:sz w:val="32"/>
          <w:szCs w:val="32"/>
        </w:rPr>
        <w:t>高校、科研院所、企业均可申报，鼓励产学研用联合申报</w:t>
      </w:r>
      <w:r>
        <w:rPr>
          <w:rFonts w:hint="eastAsia" w:ascii="Times New Roman" w:hAnsi="Times New Roman" w:eastAsia="仿宋_GB2312"/>
          <w:sz w:val="32"/>
          <w:szCs w:val="32"/>
        </w:rPr>
        <w:t>，</w:t>
      </w:r>
      <w:r>
        <w:rPr>
          <w:rFonts w:ascii="Times New Roman" w:hAnsi="Times New Roman" w:eastAsia="仿宋_GB2312"/>
          <w:sz w:val="32"/>
          <w:szCs w:val="32"/>
        </w:rPr>
        <w:t>参与单位不超过5家；财政科技下达企业的经费，企业须配套</w:t>
      </w:r>
      <w:r>
        <w:rPr>
          <w:rFonts w:hint="eastAsia" w:ascii="Times New Roman" w:hAnsi="Times New Roman" w:eastAsia="仿宋_GB2312"/>
          <w:sz w:val="32"/>
          <w:szCs w:val="32"/>
        </w:rPr>
        <w:t>经费</w:t>
      </w:r>
      <w:r>
        <w:rPr>
          <w:rFonts w:ascii="Times New Roman" w:hAnsi="Times New Roman" w:eastAsia="仿宋_GB2312"/>
          <w:sz w:val="32"/>
          <w:szCs w:val="32"/>
        </w:rPr>
        <w:t>不低于（1:3）。本</w:t>
      </w:r>
      <w:r>
        <w:rPr>
          <w:rFonts w:hint="eastAsia" w:ascii="Times New Roman" w:hAnsi="Times New Roman" w:eastAsia="仿宋_GB2312"/>
          <w:sz w:val="32"/>
          <w:szCs w:val="32"/>
        </w:rPr>
        <w:t>子</w:t>
      </w:r>
      <w:r>
        <w:rPr>
          <w:rFonts w:ascii="Times New Roman" w:hAnsi="Times New Roman" w:eastAsia="仿宋_GB2312"/>
          <w:sz w:val="32"/>
          <w:szCs w:val="32"/>
        </w:rPr>
        <w:t>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hint="eastAsia" w:ascii="Times New Roman" w:hAnsi="Times New Roman" w:eastAsia="仿宋_GB2312"/>
          <w:b/>
          <w:sz w:val="32"/>
          <w:szCs w:val="32"/>
        </w:rPr>
        <w:t>子方向</w:t>
      </w:r>
      <w:r>
        <w:rPr>
          <w:rFonts w:ascii="Times New Roman" w:hAnsi="Times New Roman" w:eastAsia="仿宋_GB2312"/>
          <w:b/>
          <w:sz w:val="32"/>
          <w:szCs w:val="32"/>
        </w:rPr>
        <w:t>2</w:t>
      </w:r>
      <w:r>
        <w:rPr>
          <w:rFonts w:hint="eastAsia" w:ascii="Times New Roman" w:hAnsi="Times New Roman" w:eastAsia="仿宋_GB2312"/>
          <w:b/>
          <w:sz w:val="32"/>
          <w:szCs w:val="32"/>
        </w:rPr>
        <w:t>：茶园生态</w:t>
      </w:r>
      <w:r>
        <w:rPr>
          <w:rFonts w:ascii="Times New Roman" w:hAnsi="Times New Roman" w:eastAsia="仿宋_GB2312"/>
          <w:b/>
          <w:sz w:val="32"/>
          <w:szCs w:val="32"/>
        </w:rPr>
        <w:t>高效</w:t>
      </w:r>
      <w:r>
        <w:rPr>
          <w:rFonts w:hint="eastAsia" w:ascii="Times New Roman" w:hAnsi="Times New Roman" w:eastAsia="仿宋_GB2312"/>
          <w:b/>
          <w:sz w:val="32"/>
          <w:szCs w:val="32"/>
        </w:rPr>
        <w:t>栽培</w:t>
      </w:r>
      <w:r>
        <w:rPr>
          <w:rFonts w:ascii="Times New Roman" w:hAnsi="Times New Roman" w:eastAsia="仿宋_GB2312"/>
          <w:b/>
          <w:sz w:val="32"/>
          <w:szCs w:val="32"/>
        </w:rPr>
        <w:t>关键技术研究与示范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研究内容：开展茶园的智慧与精准栽培、茶叶绿色生产模式等先进栽培技术研究，集成创新茶园生态高效生产管理技术体系。</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考核指标：建立智慧施肥试验示范基地5000亩以上，形成茶园智慧施肥关键技术</w:t>
      </w:r>
      <w:r>
        <w:rPr>
          <w:rFonts w:hint="eastAsia" w:ascii="Times New Roman" w:hAnsi="Times New Roman" w:eastAsia="仿宋_GB2312"/>
          <w:sz w:val="32"/>
          <w:szCs w:val="32"/>
        </w:rPr>
        <w:t>体系</w:t>
      </w:r>
      <w:r>
        <w:rPr>
          <w:rFonts w:ascii="Times New Roman" w:hAnsi="Times New Roman" w:eastAsia="仿宋_GB2312"/>
          <w:sz w:val="32"/>
          <w:szCs w:val="32"/>
        </w:rPr>
        <w:t>1套，研发专用肥产品2个以上，示范基地化肥用量减少20%以上，原料品质显著提高，综合效益提</w:t>
      </w:r>
      <w:r>
        <w:rPr>
          <w:rFonts w:hint="eastAsia" w:ascii="Times New Roman" w:hAnsi="Times New Roman" w:eastAsia="仿宋_GB2312"/>
          <w:sz w:val="32"/>
          <w:szCs w:val="32"/>
        </w:rPr>
        <w:t>升</w:t>
      </w:r>
      <w:r>
        <w:rPr>
          <w:rFonts w:ascii="Times New Roman" w:hAnsi="Times New Roman" w:eastAsia="仿宋_GB2312"/>
          <w:sz w:val="32"/>
          <w:szCs w:val="32"/>
        </w:rPr>
        <w:t>20%以上；</w:t>
      </w:r>
      <w:r>
        <w:rPr>
          <w:rFonts w:hint="eastAsia" w:ascii="Times New Roman" w:hAnsi="Times New Roman" w:eastAsia="仿宋_GB2312"/>
          <w:sz w:val="32"/>
          <w:szCs w:val="32"/>
        </w:rPr>
        <w:t>建立</w:t>
      </w:r>
      <w:r>
        <w:rPr>
          <w:rFonts w:ascii="Times New Roman" w:hAnsi="Times New Roman" w:eastAsia="仿宋_GB2312"/>
          <w:sz w:val="32"/>
          <w:szCs w:val="32"/>
        </w:rPr>
        <w:t>茶园绿色高效生产模式3</w:t>
      </w:r>
      <w:r>
        <w:rPr>
          <w:rFonts w:hint="eastAsia" w:ascii="Times New Roman" w:hAnsi="Times New Roman" w:eastAsia="仿宋_GB2312"/>
          <w:sz w:val="32"/>
          <w:szCs w:val="32"/>
        </w:rPr>
        <w:t>套</w:t>
      </w:r>
      <w:r>
        <w:rPr>
          <w:rFonts w:ascii="Times New Roman" w:hAnsi="Times New Roman" w:eastAsia="仿宋_GB2312"/>
          <w:sz w:val="32"/>
          <w:szCs w:val="32"/>
        </w:rPr>
        <w:t>以上，</w:t>
      </w:r>
      <w:r>
        <w:rPr>
          <w:rFonts w:hint="eastAsia" w:ascii="Times New Roman" w:hAnsi="Times New Roman" w:eastAsia="仿宋_GB2312"/>
          <w:sz w:val="32"/>
          <w:szCs w:val="32"/>
        </w:rPr>
        <w:t>每个</w:t>
      </w:r>
      <w:r>
        <w:rPr>
          <w:rFonts w:ascii="Times New Roman" w:hAnsi="Times New Roman" w:eastAsia="仿宋_GB2312"/>
          <w:sz w:val="32"/>
          <w:szCs w:val="32"/>
        </w:rPr>
        <w:t>模式应用示范</w:t>
      </w:r>
      <w:r>
        <w:rPr>
          <w:rFonts w:hint="eastAsia" w:ascii="Times New Roman" w:hAnsi="Times New Roman" w:eastAsia="仿宋_GB2312"/>
          <w:sz w:val="32"/>
          <w:szCs w:val="32"/>
        </w:rPr>
        <w:t>面积</w:t>
      </w:r>
      <w:r>
        <w:rPr>
          <w:rFonts w:ascii="Times New Roman" w:hAnsi="Times New Roman" w:eastAsia="仿宋_GB2312"/>
          <w:sz w:val="32"/>
          <w:szCs w:val="32"/>
        </w:rPr>
        <w:t>1000亩以上，</w:t>
      </w:r>
      <w:r>
        <w:rPr>
          <w:rFonts w:hint="eastAsia" w:ascii="Times New Roman" w:hAnsi="Times New Roman" w:eastAsia="仿宋_GB2312"/>
          <w:sz w:val="32"/>
          <w:szCs w:val="32"/>
        </w:rPr>
        <w:t>茶园</w:t>
      </w:r>
      <w:r>
        <w:rPr>
          <w:rFonts w:ascii="Times New Roman" w:hAnsi="Times New Roman" w:eastAsia="仿宋_GB2312"/>
          <w:sz w:val="32"/>
          <w:szCs w:val="32"/>
        </w:rPr>
        <w:t>效益提升20%以上；项目实施期间新增产值1亿元以上；晋升高级职称1名以上，培养各级技能人才3名以上，培训各类农技人员及茶农</w:t>
      </w:r>
      <w:r>
        <w:rPr>
          <w:rFonts w:hint="eastAsia" w:ascii="Times New Roman" w:hAnsi="Times New Roman" w:eastAsia="仿宋_GB2312"/>
          <w:sz w:val="32"/>
          <w:szCs w:val="32"/>
        </w:rPr>
        <w:t>1</w:t>
      </w:r>
      <w:r>
        <w:rPr>
          <w:rFonts w:ascii="Times New Roman" w:hAnsi="Times New Roman" w:eastAsia="仿宋_GB2312"/>
          <w:sz w:val="32"/>
          <w:szCs w:val="32"/>
        </w:rPr>
        <w:t>000人；制定广西地方标准1项以上</w:t>
      </w:r>
      <w:r>
        <w:rPr>
          <w:rFonts w:hint="eastAsia" w:ascii="Times New Roman" w:hAnsi="Times New Roman" w:eastAsia="仿宋_GB2312"/>
          <w:sz w:val="32"/>
          <w:szCs w:val="32"/>
        </w:rPr>
        <w:t>；</w:t>
      </w:r>
      <w:r>
        <w:rPr>
          <w:rFonts w:ascii="Times New Roman" w:hAnsi="Times New Roman" w:eastAsia="仿宋_GB2312"/>
          <w:sz w:val="32"/>
          <w:szCs w:val="32"/>
        </w:rPr>
        <w:t>获授权专利1件以上。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资助经费：不超过800万元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相关说明：公开择优</w:t>
      </w:r>
      <w:r>
        <w:rPr>
          <w:rFonts w:hint="eastAsia" w:ascii="Times New Roman" w:hAnsi="Times New Roman" w:eastAsia="仿宋_GB2312"/>
          <w:sz w:val="32"/>
          <w:szCs w:val="32"/>
        </w:rPr>
        <w:t>。</w:t>
      </w:r>
      <w:r>
        <w:rPr>
          <w:rFonts w:ascii="Times New Roman" w:hAnsi="Times New Roman" w:eastAsia="仿宋_GB2312"/>
          <w:sz w:val="32"/>
          <w:szCs w:val="32"/>
        </w:rPr>
        <w:t>高校、科研院所、企业均可申报，鼓励产学研用联合申报</w:t>
      </w:r>
      <w:r>
        <w:rPr>
          <w:rFonts w:hint="eastAsia" w:ascii="Times New Roman" w:hAnsi="Times New Roman" w:eastAsia="仿宋_GB2312"/>
          <w:sz w:val="32"/>
          <w:szCs w:val="32"/>
        </w:rPr>
        <w:t>，</w:t>
      </w:r>
      <w:r>
        <w:rPr>
          <w:rFonts w:ascii="Times New Roman" w:hAnsi="Times New Roman" w:eastAsia="仿宋_GB2312"/>
          <w:sz w:val="32"/>
          <w:szCs w:val="32"/>
        </w:rPr>
        <w:t>参与单位不超过5家；财政科技下达企业的经费，企业须配套</w:t>
      </w:r>
      <w:r>
        <w:rPr>
          <w:rFonts w:hint="eastAsia" w:ascii="Times New Roman" w:hAnsi="Times New Roman" w:eastAsia="仿宋_GB2312"/>
          <w:sz w:val="32"/>
          <w:szCs w:val="32"/>
        </w:rPr>
        <w:t>经费</w:t>
      </w:r>
      <w:r>
        <w:rPr>
          <w:rFonts w:ascii="Times New Roman" w:hAnsi="Times New Roman" w:eastAsia="仿宋_GB2312"/>
          <w:sz w:val="32"/>
          <w:szCs w:val="32"/>
        </w:rPr>
        <w:t>不低于（1:3）。本</w:t>
      </w:r>
      <w:r>
        <w:rPr>
          <w:rFonts w:hint="eastAsia" w:ascii="Times New Roman" w:hAnsi="Times New Roman" w:eastAsia="仿宋_GB2312"/>
          <w:sz w:val="32"/>
          <w:szCs w:val="32"/>
        </w:rPr>
        <w:t>子</w:t>
      </w:r>
      <w:r>
        <w:rPr>
          <w:rFonts w:ascii="Times New Roman" w:hAnsi="Times New Roman" w:eastAsia="仿宋_GB2312"/>
          <w:sz w:val="32"/>
          <w:szCs w:val="32"/>
        </w:rPr>
        <w:t>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ascii="Times New Roman" w:hAnsi="Times New Roman" w:eastAsia="仿宋_GB2312"/>
          <w:b/>
          <w:sz w:val="32"/>
          <w:szCs w:val="32"/>
        </w:rPr>
      </w:pPr>
      <w:r>
        <w:rPr>
          <w:rFonts w:ascii="Times New Roman" w:hAnsi="Times New Roman" w:eastAsia="仿宋_GB2312"/>
          <w:b/>
          <w:sz w:val="32"/>
          <w:szCs w:val="32"/>
        </w:rPr>
        <w:t>子方向3：茶园机械化管理关键技术研究与集成示范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1. </w:t>
      </w:r>
      <w:r>
        <w:rPr>
          <w:rFonts w:ascii="Times New Roman" w:hAnsi="Times New Roman" w:eastAsia="仿宋_GB2312"/>
          <w:sz w:val="32"/>
          <w:szCs w:val="32"/>
        </w:rPr>
        <w:t>研究内容：开展茶园耕作、施肥、采摘、植保等环节机械化关键技术研究，总结出适合茶园机械化生产的农艺技术模式及配套的适用型机械装备，集成适合山地茶园和平地茶园的机械化管理模式。</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考核指标：研发适应茶园机械化管理的配套技术</w:t>
      </w:r>
      <w:r>
        <w:rPr>
          <w:rFonts w:hint="eastAsia" w:ascii="Times New Roman" w:hAnsi="Times New Roman" w:eastAsia="仿宋_GB2312"/>
          <w:sz w:val="32"/>
          <w:szCs w:val="32"/>
        </w:rPr>
        <w:t>体系2套以上</w:t>
      </w:r>
      <w:r>
        <w:rPr>
          <w:rFonts w:ascii="Times New Roman" w:hAnsi="Times New Roman" w:eastAsia="仿宋_GB2312"/>
          <w:sz w:val="32"/>
          <w:szCs w:val="32"/>
        </w:rPr>
        <w:t>，建立机械化示范基地5000亩以上，节省生产成本30%以上；项目实施期间新增产值1亿元以上；晋升高级职称1名以上，培养各级技能人才2名以上，培训各类农技人员及茶农500人；制定广西地方标准1项以上；获授权专利2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资助经费：不超过800万元。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相关说明：公开择优。高校、科研院所、企业均可申报，鼓励产学研用联合申报，参与单位不超过5家；财政科技下达企业的经费，企业须配套经费不低于（1:3）。本子方向需要提交查新报告。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3"/>
        <w:rPr>
          <w:rFonts w:ascii="Times New Roman" w:hAnsi="Times New Roman" w:eastAsia="仿宋_GB2312"/>
          <w:b/>
          <w:sz w:val="32"/>
          <w:szCs w:val="32"/>
        </w:rPr>
      </w:pPr>
      <w:r>
        <w:rPr>
          <w:rFonts w:hint="eastAsia" w:ascii="Times New Roman" w:hAnsi="Times New Roman" w:eastAsia="仿宋_GB2312"/>
          <w:b/>
          <w:sz w:val="32"/>
          <w:szCs w:val="32"/>
        </w:rPr>
        <w:t>子方向</w:t>
      </w:r>
      <w:r>
        <w:rPr>
          <w:rFonts w:ascii="Times New Roman" w:hAnsi="Times New Roman" w:eastAsia="仿宋_GB2312"/>
          <w:b/>
          <w:sz w:val="32"/>
          <w:szCs w:val="32"/>
        </w:rPr>
        <w:t>4</w:t>
      </w:r>
      <w:r>
        <w:rPr>
          <w:rFonts w:hint="eastAsia" w:ascii="Times New Roman" w:hAnsi="Times New Roman" w:eastAsia="仿宋_GB2312"/>
          <w:b/>
          <w:sz w:val="32"/>
          <w:szCs w:val="32"/>
        </w:rPr>
        <w:t>：</w:t>
      </w:r>
      <w:r>
        <w:rPr>
          <w:rFonts w:ascii="Times New Roman" w:hAnsi="Times New Roman" w:eastAsia="仿宋_GB2312"/>
          <w:b/>
          <w:sz w:val="32"/>
          <w:szCs w:val="32"/>
        </w:rPr>
        <w:t>六堡茶智能化加工及</w:t>
      </w:r>
      <w:r>
        <w:rPr>
          <w:rFonts w:hint="eastAsia" w:ascii="Times New Roman" w:hAnsi="Times New Roman" w:eastAsia="仿宋_GB2312"/>
          <w:b/>
          <w:sz w:val="32"/>
          <w:szCs w:val="32"/>
        </w:rPr>
        <w:t>产品</w:t>
      </w:r>
      <w:r>
        <w:rPr>
          <w:rFonts w:ascii="Times New Roman" w:hAnsi="Times New Roman" w:eastAsia="仿宋_GB2312"/>
          <w:b/>
          <w:sz w:val="32"/>
          <w:szCs w:val="32"/>
        </w:rPr>
        <w:t>质量安全研究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研究内容：重点研发六堡茶加工智能化装备，建立智能化生产线；</w:t>
      </w:r>
      <w:r>
        <w:rPr>
          <w:rFonts w:ascii="Times New Roman" w:hAnsi="Times New Roman" w:eastAsia="仿宋_GB2312"/>
          <w:sz w:val="32"/>
          <w:szCs w:val="32"/>
        </w:rPr>
        <w:t>研究六堡茶加工过程的质量安全检测与控制技术。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考核指标：研发六堡茶加工智能化装备2套以上，建立生产线2条以上；提高六堡茶质量与安全，研发六堡茶农残、重金属及有害微生物</w:t>
      </w:r>
      <w:r>
        <w:rPr>
          <w:rFonts w:hint="eastAsia" w:ascii="Times New Roman" w:hAnsi="Times New Roman" w:eastAsia="仿宋_GB2312"/>
          <w:sz w:val="32"/>
          <w:szCs w:val="32"/>
        </w:rPr>
        <w:t>等</w:t>
      </w:r>
      <w:r>
        <w:rPr>
          <w:rFonts w:ascii="Times New Roman" w:hAnsi="Times New Roman" w:eastAsia="仿宋_GB2312"/>
          <w:sz w:val="32"/>
          <w:szCs w:val="32"/>
        </w:rPr>
        <w:t>快速检测方法各1个；形成六堡茶标准化生产规程1个；项目实施期间新增产值3亿元以上</w:t>
      </w:r>
      <w:r>
        <w:rPr>
          <w:rFonts w:hint="eastAsia" w:ascii="Times New Roman" w:hAnsi="Times New Roman" w:eastAsia="仿宋_GB2312"/>
          <w:sz w:val="32"/>
          <w:szCs w:val="32"/>
        </w:rPr>
        <w:t>；</w:t>
      </w:r>
      <w:r>
        <w:rPr>
          <w:rFonts w:ascii="Times New Roman" w:hAnsi="Times New Roman" w:eastAsia="仿宋_GB2312"/>
          <w:sz w:val="32"/>
          <w:szCs w:val="32"/>
        </w:rPr>
        <w:t>晋升高级职称1名以上，培养各级技能人才</w:t>
      </w:r>
      <w:r>
        <w:rPr>
          <w:rFonts w:hint="eastAsia" w:ascii="Times New Roman" w:hAnsi="Times New Roman" w:eastAsia="仿宋_GB2312"/>
          <w:sz w:val="32"/>
          <w:szCs w:val="32"/>
        </w:rPr>
        <w:t>1</w:t>
      </w:r>
      <w:r>
        <w:rPr>
          <w:rFonts w:ascii="Times New Roman" w:hAnsi="Times New Roman" w:eastAsia="仿宋_GB2312"/>
          <w:sz w:val="32"/>
          <w:szCs w:val="32"/>
        </w:rPr>
        <w:t>0名以上，培训各类农技人员及茶农1500人；制定广西地方标准1项以上</w:t>
      </w:r>
      <w:r>
        <w:rPr>
          <w:rFonts w:hint="eastAsia" w:ascii="Times New Roman" w:hAnsi="Times New Roman" w:eastAsia="仿宋_GB2312"/>
          <w:sz w:val="32"/>
          <w:szCs w:val="32"/>
        </w:rPr>
        <w:t>；</w:t>
      </w:r>
      <w:r>
        <w:rPr>
          <w:rFonts w:ascii="Times New Roman" w:hAnsi="Times New Roman" w:eastAsia="仿宋_GB2312"/>
          <w:sz w:val="32"/>
          <w:szCs w:val="32"/>
        </w:rPr>
        <w:t>获授权专利3件以上。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资助经费：不超过</w:t>
      </w:r>
      <w:r>
        <w:rPr>
          <w:rFonts w:hint="eastAsia" w:ascii="Times New Roman" w:hAnsi="Times New Roman" w:eastAsia="仿宋_GB2312"/>
          <w:sz w:val="32"/>
          <w:szCs w:val="32"/>
        </w:rPr>
        <w:t>1000</w:t>
      </w:r>
      <w:r>
        <w:rPr>
          <w:rFonts w:ascii="Times New Roman" w:hAnsi="Times New Roman" w:eastAsia="仿宋_GB2312"/>
          <w:sz w:val="32"/>
          <w:szCs w:val="32"/>
        </w:rPr>
        <w:t>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相关说明：公开择优</w:t>
      </w:r>
      <w:r>
        <w:rPr>
          <w:rFonts w:hint="eastAsia" w:ascii="Times New Roman" w:hAnsi="Times New Roman" w:eastAsia="仿宋_GB2312"/>
          <w:sz w:val="32"/>
          <w:szCs w:val="32"/>
        </w:rPr>
        <w:t>。</w:t>
      </w:r>
      <w:r>
        <w:rPr>
          <w:rFonts w:ascii="Times New Roman" w:hAnsi="Times New Roman" w:eastAsia="仿宋_GB2312"/>
          <w:sz w:val="32"/>
          <w:szCs w:val="32"/>
        </w:rPr>
        <w:t>高校、科研院所、企业均可申报，鼓励产学研用联合申报</w:t>
      </w:r>
      <w:r>
        <w:rPr>
          <w:rFonts w:hint="eastAsia" w:ascii="Times New Roman" w:hAnsi="Times New Roman" w:eastAsia="仿宋_GB2312"/>
          <w:sz w:val="32"/>
          <w:szCs w:val="32"/>
        </w:rPr>
        <w:t>，</w:t>
      </w:r>
      <w:r>
        <w:rPr>
          <w:rFonts w:ascii="Times New Roman" w:hAnsi="Times New Roman" w:eastAsia="仿宋_GB2312"/>
          <w:sz w:val="32"/>
          <w:szCs w:val="32"/>
        </w:rPr>
        <w:t>参与单位不超过5家；财政科技下达企业的经费，企业须配套</w:t>
      </w:r>
      <w:r>
        <w:rPr>
          <w:rFonts w:hint="eastAsia" w:ascii="Times New Roman" w:hAnsi="Times New Roman" w:eastAsia="仿宋_GB2312"/>
          <w:sz w:val="32"/>
          <w:szCs w:val="32"/>
        </w:rPr>
        <w:t>经费</w:t>
      </w:r>
      <w:r>
        <w:rPr>
          <w:rFonts w:ascii="Times New Roman" w:hAnsi="Times New Roman" w:eastAsia="仿宋_GB2312"/>
          <w:sz w:val="32"/>
          <w:szCs w:val="32"/>
        </w:rPr>
        <w:t>不低于（1:3）。本</w:t>
      </w:r>
      <w:r>
        <w:rPr>
          <w:rFonts w:hint="eastAsia" w:ascii="Times New Roman" w:hAnsi="Times New Roman" w:eastAsia="仿宋_GB2312"/>
          <w:sz w:val="32"/>
          <w:szCs w:val="32"/>
        </w:rPr>
        <w:t>子</w:t>
      </w:r>
      <w:r>
        <w:rPr>
          <w:rFonts w:ascii="Times New Roman" w:hAnsi="Times New Roman" w:eastAsia="仿宋_GB2312"/>
          <w:sz w:val="32"/>
          <w:szCs w:val="32"/>
        </w:rPr>
        <w:t>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ascii="Times New Roman" w:hAnsi="Times New Roman" w:eastAsia="仿宋_GB2312"/>
          <w:b/>
          <w:sz w:val="32"/>
          <w:szCs w:val="32"/>
        </w:rPr>
      </w:pPr>
      <w:r>
        <w:rPr>
          <w:rFonts w:ascii="Times New Roman" w:hAnsi="Times New Roman" w:eastAsia="仿宋_GB2312"/>
          <w:b/>
          <w:sz w:val="32"/>
          <w:szCs w:val="32"/>
        </w:rPr>
        <w:t>子方向5：六堡茶风味品质研究与高值化茶产品研发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 xml:space="preserve">. </w:t>
      </w:r>
      <w:r>
        <w:rPr>
          <w:rFonts w:ascii="Times New Roman" w:hAnsi="Times New Roman" w:eastAsia="仿宋_GB2312"/>
          <w:sz w:val="32"/>
          <w:szCs w:val="32"/>
        </w:rPr>
        <w:t>研究内容：开展六堡茶风味品质影响因素研究及建立风味物质检测体系；分析六堡茶功能性成分，研发高值化六堡茶新产品</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 xml:space="preserve">. </w:t>
      </w:r>
      <w:r>
        <w:rPr>
          <w:rFonts w:ascii="Times New Roman" w:hAnsi="Times New Roman" w:eastAsia="仿宋_GB2312"/>
          <w:sz w:val="32"/>
          <w:szCs w:val="32"/>
        </w:rPr>
        <w:t>考核指标：研究六堡茶风味品质影响因素，建立六堡茶香气成分检测体系及六堡茶浸出风味物质检测体系各1个，建立六堡茶加工参数对风味品质的影响模型1个；分离、筛选、纯化、鉴定六堡茶相关功能性成分2个，研发高值化六堡茶产品6个以上；项目实施期间新增产值3亿元以上；晋升高级职称1名以上，培养各级技能人才5名以上，培训各类农技人员及茶农500人；制定广西地方标准1项以上；获授权专利2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 xml:space="preserve">. </w:t>
      </w:r>
      <w:r>
        <w:rPr>
          <w:rFonts w:ascii="Times New Roman" w:hAnsi="Times New Roman" w:eastAsia="仿宋_GB2312"/>
          <w:sz w:val="32"/>
          <w:szCs w:val="32"/>
        </w:rPr>
        <w:t>资助经费：不超过</w:t>
      </w:r>
      <w:r>
        <w:rPr>
          <w:rFonts w:hint="eastAsia" w:ascii="Times New Roman" w:hAnsi="Times New Roman" w:eastAsia="仿宋_GB2312"/>
          <w:sz w:val="32"/>
          <w:szCs w:val="32"/>
        </w:rPr>
        <w:t>1000</w:t>
      </w:r>
      <w:r>
        <w:rPr>
          <w:rFonts w:ascii="Times New Roman" w:hAnsi="Times New Roman" w:eastAsia="仿宋_GB2312"/>
          <w:sz w:val="32"/>
          <w:szCs w:val="32"/>
        </w:rPr>
        <w:t>万元。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 xml:space="preserve">. </w:t>
      </w:r>
      <w:r>
        <w:rPr>
          <w:rFonts w:ascii="Times New Roman" w:hAnsi="Times New Roman" w:eastAsia="仿宋_GB2312"/>
          <w:sz w:val="32"/>
          <w:szCs w:val="32"/>
        </w:rPr>
        <w:t>相关说明：公开择优。高校、科研院所、企业均可申报，鼓励产学研用联合申报，参与单位不超过5家；财政科技下达企业的经费，企业须配套经费不低于（1:3）。本子方向需要提交查新报告。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outlineLvl w:val="2"/>
        <w:rPr>
          <w:rFonts w:ascii="Times New Roman" w:hAnsi="Times New Roman" w:eastAsia="仿宋_GB2312"/>
          <w:b/>
          <w:sz w:val="32"/>
          <w:szCs w:val="32"/>
        </w:rPr>
      </w:pPr>
      <w:bookmarkStart w:id="177" w:name="_Toc83570549"/>
      <w:r>
        <w:rPr>
          <w:rFonts w:ascii="Times New Roman" w:hAnsi="Times New Roman" w:eastAsia="仿宋_GB2312"/>
          <w:b/>
          <w:sz w:val="32"/>
          <w:szCs w:val="32"/>
        </w:rPr>
        <w:t>方向</w:t>
      </w:r>
      <w:r>
        <w:rPr>
          <w:rFonts w:hint="eastAsia" w:ascii="Times New Roman" w:hAnsi="Times New Roman" w:eastAsia="仿宋_GB2312"/>
          <w:b/>
          <w:sz w:val="32"/>
          <w:szCs w:val="32"/>
        </w:rPr>
        <w:t>5</w:t>
      </w:r>
      <w:r>
        <w:rPr>
          <w:rFonts w:ascii="Times New Roman" w:hAnsi="Times New Roman" w:eastAsia="仿宋_GB2312"/>
          <w:b/>
          <w:sz w:val="32"/>
          <w:szCs w:val="32"/>
        </w:rPr>
        <w:t>：广西奶水牛“十万百亿”重大技术攻关与产业化示范</w:t>
      </w:r>
      <w:bookmarkEnd w:id="177"/>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 研究内容：</w:t>
      </w:r>
      <w:r>
        <w:rPr>
          <w:rFonts w:ascii="Times New Roman" w:hAnsi="Times New Roman" w:eastAsia="仿宋_GB2312"/>
          <w:sz w:val="32"/>
          <w:szCs w:val="32"/>
        </w:rPr>
        <w:t>开展奶水牛产奶性状遗传解析、种牛泌乳性状遗传评定、消化道微生物干预技术、奶水牛营养技术调控等研究；开展奶水牛高效繁殖技术创新及示范应用，缩短母牛初配年龄和产犊间隔；开展奶水牛标准化安全饲养关键技术研究，建立奶水牛营养需求及饲养管理标准；开展水牛乳与制品质量安全重点风险及其检测技术、水牛乳安全高效利用关键技术，特色水牛乳制品加工新设备、新技术与新产品研发，创建水牛乳及乳制品质量安全快速检测平台、全产业链溯源体系，形成三产融合新模式、新业态。</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考核指标：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（1）构建国内外主要水牛品种高质量泛基因组数据库1个；发掘奶水牛重要经济性状基因3个以上，鉴定与水牛产奶和繁殖性状相关的SNP标记12个以上。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研发构建广西奶水牛遗传资源信息管理与共享平台1个，实现信息化动态管理和分析，通过后裔选育方法，打造奶水牛良种种质资源库，实现从冻精与胚胎生产、产犊、培育、投产全程的跟踪；开展奶水牛遗传评定，品种登记2000头以上，DHI测定河流型纯种及其不同杂交组合10000头次以上；选育高产（2500kg）奶水牛300头以上，培育优秀种公牛20头以上；生产优质冻精25万支以上；生产河流型良种胚胎5000枚以上；胚胎移植受胎率达25%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研发并集成奶水牛营养需要饲养标准1套；开发地源性非粮型饲料营养成分近红外光谱检测技术1套；构建奶水牛饲养及饲料加工等相关技术标准2个以上；培育奶水牛良种、高产智慧牧场（存栏&gt;500头）4个以上，经技术集成及示范应用后，母牛初配年龄缩短至24月龄，平均产奶量达1900kg以上，乳蛋白和乳脂肪分别达4.4%和7.4%以上；良种覆盖率达100%，年受胎率达80%以上；奶水牛养殖纯收益达7000元/头/年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建立服务于区内外的水牛乳及乳制品质量安全快速检测平台1个，检测样本10000个以上；研发并形成水牛乳及制品重点风险快速检测/识别方法、原料乳高效利用及加工品控集成技术与标准各1套；创制特色水牛乳产品加工新设备2台/套以上、研发产品加工新技术5项以上，推广包括干乳制品、发酵乳、功能乳饮料等具有特殊营养、活性或用途的水牛乳新产品8个以上，新产品实现产值1.5亿以上；建立数字赋能全产业链溯源体系1套，创建提质创品三产融合新模式、新业态示范点3个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（5）辐射带动广西奶水牛存栏10万头以上，生奶年产7万吨以上，产值100亿元以上。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（6）培养研究生15名以上（其中博士研究生3名以上），晋升高级职称15名以上，培训各类农技人员3000人次以上。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（8）制定奶水牛营养需要饲养标准、水牛乳中风险物质快速识别技术规程等广西地方标准5项以上，获授权专利10件以上。</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3. </w:t>
      </w:r>
      <w:r>
        <w:rPr>
          <w:rFonts w:ascii="Times New Roman" w:hAnsi="Times New Roman" w:eastAsia="仿宋_GB2312"/>
          <w:sz w:val="32"/>
          <w:szCs w:val="32"/>
        </w:rPr>
        <w:t>实施期限：2022年—2024年</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4. </w:t>
      </w:r>
      <w:r>
        <w:rPr>
          <w:rFonts w:ascii="Times New Roman" w:hAnsi="Times New Roman" w:eastAsia="仿宋_GB2312"/>
          <w:sz w:val="32"/>
          <w:szCs w:val="32"/>
        </w:rPr>
        <w:t>资助经费：不超过3800万元</w:t>
      </w:r>
      <w:r>
        <w:rPr>
          <w:rFonts w:hint="eastAsia" w:ascii="Times New Roman" w:hAnsi="Times New Roman" w:eastAsia="仿宋_GB2312"/>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sz w:val="32"/>
          <w:szCs w:val="32"/>
        </w:rPr>
      </w:pPr>
      <w:r>
        <w:rPr>
          <w:rFonts w:hint="eastAsia" w:ascii="Times New Roman" w:hAnsi="Times New Roman" w:eastAsia="仿宋_GB2312"/>
          <w:sz w:val="32"/>
          <w:szCs w:val="32"/>
        </w:rPr>
        <w:t xml:space="preserve">5. </w:t>
      </w:r>
      <w:r>
        <w:rPr>
          <w:rFonts w:ascii="Times New Roman" w:hAnsi="Times New Roman" w:eastAsia="仿宋_GB2312"/>
          <w:sz w:val="32"/>
          <w:szCs w:val="32"/>
        </w:rPr>
        <w:t>相关说明：本方向以公开择优方式遴选项目。高校、科研院所、企业均可申报，鼓励产学研用联合申报；财政科技下达企业的经费，企业须配套</w:t>
      </w:r>
      <w:r>
        <w:rPr>
          <w:rFonts w:hint="eastAsia" w:ascii="Times New Roman" w:hAnsi="Times New Roman" w:eastAsia="仿宋_GB2312"/>
          <w:sz w:val="32"/>
          <w:szCs w:val="32"/>
        </w:rPr>
        <w:t>经费</w:t>
      </w:r>
      <w:r>
        <w:rPr>
          <w:rFonts w:ascii="Times New Roman" w:hAnsi="Times New Roman" w:eastAsia="仿宋_GB2312"/>
          <w:sz w:val="32"/>
          <w:szCs w:val="32"/>
        </w:rPr>
        <w:t>不低于（1:3）。本方向需要提交查新报告。</w:t>
      </w: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2098" w:right="1474" w:bottom="141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26</w:t>
    </w:r>
    <w:r>
      <w:rPr>
        <w:rFonts w:ascii="宋体" w:hAnsi="宋体"/>
        <w:sz w:val="28"/>
        <w:szCs w:val="28"/>
      </w:rPr>
      <w:fldChar w:fldCharType="end"/>
    </w:r>
    <w:r>
      <w:rPr>
        <w:rFonts w:hint="eastAsia" w:ascii="宋体" w:hAnsi="宋体"/>
        <w:sz w:val="28"/>
        <w:szCs w:val="28"/>
      </w:rPr>
      <w:t>—</w:t>
    </w:r>
  </w:p>
  <w:p>
    <w:pPr>
      <w:pStyle w:val="3"/>
      <w:ind w:right="360" w:firstLine="360"/>
      <w:rPr>
        <w:rFonts w:eastAsia="仿宋"/>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eastAsia="仿宋"/>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-123190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eastAsia="方正小标宋简体" w:cs="Times New Roman"/>
                              <w:sz w:val="28"/>
                              <w:szCs w:val="28"/>
                              <w:lang w:eastAsia="zh-CN"/>
                            </w:rPr>
                          </w:pPr>
                          <w:r>
                            <w:rPr>
                              <w:rFonts w:hint="default" w:ascii="Times New Roman" w:hAnsi="Times New Roman" w:eastAsia="方正小标宋简体" w:cs="Times New Roman"/>
                              <w:sz w:val="28"/>
                              <w:szCs w:val="28"/>
                              <w:lang w:eastAsia="zh-CN"/>
                            </w:rPr>
                            <w:t xml:space="preserve">— </w:t>
                          </w:r>
                          <w:r>
                            <w:rPr>
                              <w:rFonts w:hint="default" w:ascii="Times New Roman" w:hAnsi="Times New Roman" w:eastAsia="方正小标宋简体" w:cs="Times New Roman"/>
                              <w:sz w:val="28"/>
                              <w:szCs w:val="28"/>
                              <w:lang w:eastAsia="zh-CN"/>
                            </w:rPr>
                            <w:fldChar w:fldCharType="begin"/>
                          </w:r>
                          <w:r>
                            <w:rPr>
                              <w:rFonts w:hint="default" w:ascii="Times New Roman" w:hAnsi="Times New Roman" w:eastAsia="方正小标宋简体" w:cs="Times New Roman"/>
                              <w:sz w:val="28"/>
                              <w:szCs w:val="28"/>
                              <w:lang w:eastAsia="zh-CN"/>
                            </w:rPr>
                            <w:instrText xml:space="preserve"> PAGE  \* MERGEFORMAT </w:instrText>
                          </w:r>
                          <w:r>
                            <w:rPr>
                              <w:rFonts w:hint="default" w:ascii="Times New Roman" w:hAnsi="Times New Roman" w:eastAsia="方正小标宋简体" w:cs="Times New Roman"/>
                              <w:sz w:val="28"/>
                              <w:szCs w:val="28"/>
                              <w:lang w:eastAsia="zh-CN"/>
                            </w:rPr>
                            <w:fldChar w:fldCharType="separate"/>
                          </w:r>
                          <w:r>
                            <w:rPr>
                              <w:rFonts w:hint="default" w:ascii="Times New Roman" w:hAnsi="Times New Roman" w:eastAsia="方正小标宋简体" w:cs="Times New Roman"/>
                              <w:sz w:val="28"/>
                              <w:szCs w:val="28"/>
                              <w:lang w:eastAsia="zh-CN"/>
                            </w:rPr>
                            <w:t>1</w:t>
                          </w:r>
                          <w:r>
                            <w:rPr>
                              <w:rFonts w:hint="default" w:ascii="Times New Roman" w:hAnsi="Times New Roman" w:eastAsia="方正小标宋简体" w:cs="Times New Roman"/>
                              <w:sz w:val="28"/>
                              <w:szCs w:val="28"/>
                              <w:lang w:eastAsia="zh-CN"/>
                            </w:rPr>
                            <w:fldChar w:fldCharType="end"/>
                          </w:r>
                          <w:r>
                            <w:rPr>
                              <w:rFonts w:hint="default" w:ascii="Times New Roman" w:hAnsi="Times New Roman" w:eastAsia="方正小标宋简体" w:cs="Times New Roman"/>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9.7pt;height:144pt;width:144pt;mso-position-horizontal:outside;mso-position-horizontal-relative:margin;mso-wrap-style:none;z-index:251660288;mso-width-relative:page;mso-height-relative:page;" filled="f" stroked="f" coordsize="21600,21600" o:gfxdata="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9XeZvWAAAACAEAAA8AAAAAAAAA&#10;AQAgAAAAIgAAAGRycy9kb3ducmV2LnhtbFBLAQIUABQAAAAIAIdO4kAF3HKwEwIAABMEAAAOAAAA&#10;AAAAAAEAIAAAACUBAABkcnMvZTJvRG9jLnhtbFBLBQYAAAAABgAGAFkBAACqBQAAAAA=&#10;">
              <v:fill on="f" focussize="0,0"/>
              <v:stroke on="f" weight="0.5pt"/>
              <v:imagedata o:title=""/>
              <o:lock v:ext="edit" aspectratio="f"/>
              <v:textbox inset="0mm,0mm,0mm,0mm" style="mso-fit-shape-to-text:t;">
                <w:txbxContent>
                  <w:p>
                    <w:pPr>
                      <w:pStyle w:val="3"/>
                      <w:rPr>
                        <w:rFonts w:hint="default" w:ascii="Times New Roman" w:hAnsi="Times New Roman" w:eastAsia="方正小标宋简体" w:cs="Times New Roman"/>
                        <w:sz w:val="28"/>
                        <w:szCs w:val="28"/>
                        <w:lang w:eastAsia="zh-CN"/>
                      </w:rPr>
                    </w:pPr>
                    <w:r>
                      <w:rPr>
                        <w:rFonts w:hint="default" w:ascii="Times New Roman" w:hAnsi="Times New Roman" w:eastAsia="方正小标宋简体" w:cs="Times New Roman"/>
                        <w:sz w:val="28"/>
                        <w:szCs w:val="28"/>
                        <w:lang w:eastAsia="zh-CN"/>
                      </w:rPr>
                      <w:t xml:space="preserve">— </w:t>
                    </w:r>
                    <w:r>
                      <w:rPr>
                        <w:rFonts w:hint="default" w:ascii="Times New Roman" w:hAnsi="Times New Roman" w:eastAsia="方正小标宋简体" w:cs="Times New Roman"/>
                        <w:sz w:val="28"/>
                        <w:szCs w:val="28"/>
                        <w:lang w:eastAsia="zh-CN"/>
                      </w:rPr>
                      <w:fldChar w:fldCharType="begin"/>
                    </w:r>
                    <w:r>
                      <w:rPr>
                        <w:rFonts w:hint="default" w:ascii="Times New Roman" w:hAnsi="Times New Roman" w:eastAsia="方正小标宋简体" w:cs="Times New Roman"/>
                        <w:sz w:val="28"/>
                        <w:szCs w:val="28"/>
                        <w:lang w:eastAsia="zh-CN"/>
                      </w:rPr>
                      <w:instrText xml:space="preserve"> PAGE  \* MERGEFORMAT </w:instrText>
                    </w:r>
                    <w:r>
                      <w:rPr>
                        <w:rFonts w:hint="default" w:ascii="Times New Roman" w:hAnsi="Times New Roman" w:eastAsia="方正小标宋简体" w:cs="Times New Roman"/>
                        <w:sz w:val="28"/>
                        <w:szCs w:val="28"/>
                        <w:lang w:eastAsia="zh-CN"/>
                      </w:rPr>
                      <w:fldChar w:fldCharType="separate"/>
                    </w:r>
                    <w:r>
                      <w:rPr>
                        <w:rFonts w:hint="default" w:ascii="Times New Roman" w:hAnsi="Times New Roman" w:eastAsia="方正小标宋简体" w:cs="Times New Roman"/>
                        <w:sz w:val="28"/>
                        <w:szCs w:val="28"/>
                        <w:lang w:eastAsia="zh-CN"/>
                      </w:rPr>
                      <w:t>1</w:t>
                    </w:r>
                    <w:r>
                      <w:rPr>
                        <w:rFonts w:hint="default" w:ascii="Times New Roman" w:hAnsi="Times New Roman" w:eastAsia="方正小标宋简体" w:cs="Times New Roman"/>
                        <w:sz w:val="28"/>
                        <w:szCs w:val="28"/>
                        <w:lang w:eastAsia="zh-CN"/>
                      </w:rPr>
                      <w:fldChar w:fldCharType="end"/>
                    </w:r>
                    <w:r>
                      <w:rPr>
                        <w:rFonts w:hint="default" w:ascii="Times New Roman" w:hAnsi="Times New Roman" w:eastAsia="方正小标宋简体" w:cs="Times New Roman"/>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仿宋"/>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12188"/>
    <w:rsid w:val="04D56F06"/>
    <w:rsid w:val="141D20EF"/>
    <w:rsid w:val="177D13ED"/>
    <w:rsid w:val="19F0315D"/>
    <w:rsid w:val="1C533C3D"/>
    <w:rsid w:val="20F07F5E"/>
    <w:rsid w:val="235F04D8"/>
    <w:rsid w:val="25033511"/>
    <w:rsid w:val="276D256B"/>
    <w:rsid w:val="27AE3B91"/>
    <w:rsid w:val="299B19E5"/>
    <w:rsid w:val="29B87B2B"/>
    <w:rsid w:val="2B472E94"/>
    <w:rsid w:val="2DDD0783"/>
    <w:rsid w:val="35C460DF"/>
    <w:rsid w:val="37422563"/>
    <w:rsid w:val="38490E60"/>
    <w:rsid w:val="3A275027"/>
    <w:rsid w:val="3D7F5257"/>
    <w:rsid w:val="3FA83459"/>
    <w:rsid w:val="46A202AB"/>
    <w:rsid w:val="4A043C96"/>
    <w:rsid w:val="4CBB598E"/>
    <w:rsid w:val="4FF6305B"/>
    <w:rsid w:val="514D3C95"/>
    <w:rsid w:val="516029EA"/>
    <w:rsid w:val="583F7D99"/>
    <w:rsid w:val="58957E13"/>
    <w:rsid w:val="5925281D"/>
    <w:rsid w:val="5BD83B3F"/>
    <w:rsid w:val="5F0C327F"/>
    <w:rsid w:val="5F383E53"/>
    <w:rsid w:val="5F6109A5"/>
    <w:rsid w:val="65BB341C"/>
    <w:rsid w:val="67157AEC"/>
    <w:rsid w:val="673F385C"/>
    <w:rsid w:val="67855C81"/>
    <w:rsid w:val="678C2A12"/>
    <w:rsid w:val="693E064E"/>
    <w:rsid w:val="69A72E55"/>
    <w:rsid w:val="6B6C0F67"/>
    <w:rsid w:val="6EFE7FBB"/>
    <w:rsid w:val="713D532C"/>
    <w:rsid w:val="736A265E"/>
    <w:rsid w:val="7D59456F"/>
    <w:rsid w:val="7DD7186D"/>
    <w:rsid w:val="7EEF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oc 3"/>
    <w:basedOn w:val="1"/>
    <w:next w:val="1"/>
    <w:qFormat/>
    <w:uiPriority w:val="39"/>
    <w:pPr>
      <w:jc w:val="left"/>
    </w:pPr>
    <w:rPr>
      <w:rFonts w:ascii="Times New Roman" w:hAnsi="Times New Roman"/>
      <w:i/>
      <w:iCs/>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uiPriority w:val="39"/>
    <w:pPr>
      <w:spacing w:before="120" w:after="120"/>
      <w:jc w:val="left"/>
    </w:pPr>
    <w:rPr>
      <w:rFonts w:ascii="Times New Roman" w:hAnsi="Times New Roman"/>
      <w:b/>
      <w:bCs/>
      <w:caps/>
      <w:sz w:val="20"/>
      <w:szCs w:val="20"/>
    </w:rPr>
  </w:style>
  <w:style w:type="paragraph" w:styleId="6">
    <w:name w:val="toc 2"/>
    <w:basedOn w:val="1"/>
    <w:next w:val="1"/>
    <w:qFormat/>
    <w:uiPriority w:val="39"/>
    <w:pPr>
      <w:jc w:val="left"/>
    </w:pPr>
    <w:rPr>
      <w:rFonts w:ascii="Times New Roman" w:hAnsi="Times New Roman"/>
      <w:smallCaps/>
      <w:sz w:val="20"/>
      <w:szCs w:val="20"/>
    </w:rPr>
  </w:style>
  <w:style w:type="character" w:styleId="9">
    <w:name w:val="page number"/>
    <w:qFormat/>
    <w:uiPriority w:val="0"/>
  </w:style>
  <w:style w:type="character" w:styleId="10">
    <w:name w:val="Hyperlink"/>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2021-09-30T08:24:00Z</dcterms:created>
  <dc:creator>12120</dc:creator>
  <cp:lastModifiedBy>苏筠惠</cp:lastModifiedBy>
  <dcterms:modified xsi:type="dcterms:W3CDTF">2021-09-30T09:42:59Z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