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899B4">
      <w:pPr>
        <w:spacing w:after="100" w:line="360" w:lineRule="auto"/>
        <w:jc w:val="left"/>
      </w:pPr>
      <w:r>
        <w:rPr>
          <w:rFonts w:ascii="Times New Roman" w:hAnsi="Times New Roman" w:eastAsia="思源黑体" w:cs="Times New Roman"/>
          <w:b/>
          <w:bCs/>
          <w:sz w:val="28"/>
          <w:szCs w:val="28"/>
        </w:rPr>
        <w:t>附件1</w:t>
      </w:r>
    </w:p>
    <w:p w14:paraId="6C01FDAE">
      <w:pPr>
        <w:spacing w:after="2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b/>
          <w:bCs/>
          <w:sz w:val="36"/>
          <w:szCs w:val="36"/>
        </w:rPr>
        <w:t>采购需求及技术要求</w:t>
      </w:r>
    </w:p>
    <w:p w14:paraId="357696D4">
      <w:pPr>
        <w:pStyle w:val="2"/>
        <w:ind w:firstLine="643" w:firstLineChars="200"/>
        <w:rPr>
          <w:rFonts w:hint="eastAsia" w:ascii="仿宋_GB2312" w:hAnsi="仿宋_GB2312" w:eastAsia="仿宋_GB2312" w:cs="仿宋_GB2312"/>
          <w:b/>
          <w:bCs/>
          <w:sz w:val="32"/>
          <w:szCs w:val="32"/>
        </w:rPr>
      </w:pPr>
    </w:p>
    <w:p w14:paraId="44A76694">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一、项目基本情况</w:t>
      </w:r>
    </w:p>
    <w:p w14:paraId="3141CD67">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本次拟开发的</w:t>
      </w:r>
      <w:r>
        <w:rPr>
          <w:rFonts w:hint="eastAsia" w:ascii="仿宋_GB2312" w:hAnsi="仿宋_GB2312" w:eastAsia="仿宋_GB2312" w:cs="仿宋_GB2312"/>
          <w:sz w:val="32"/>
          <w:szCs w:val="32"/>
          <w:lang w:val="en-US" w:eastAsia="zh-CN"/>
        </w:rPr>
        <w:t>医疗机构</w:t>
      </w:r>
      <w:r>
        <w:rPr>
          <w:rFonts w:hint="eastAsia" w:ascii="仿宋_GB2312" w:hAnsi="仿宋_GB2312" w:eastAsia="仿宋_GB2312" w:cs="仿宋_GB2312"/>
          <w:sz w:val="32"/>
          <w:szCs w:val="32"/>
        </w:rPr>
        <w:t>制剂EHTQ颗粒情况如下：</w:t>
      </w:r>
    </w:p>
    <w:p w14:paraId="40C2AF6B">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成分：黄芪、白术、防风、柴胡等十味药材组成，不含毒性药材。</w:t>
      </w:r>
    </w:p>
    <w:p w14:paraId="4FAF94A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给药途径：口服。</w:t>
      </w:r>
    </w:p>
    <w:p w14:paraId="738F710F">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临床拟用期限：2周～1个月。</w:t>
      </w:r>
    </w:p>
    <w:p w14:paraId="4DA8B8B4">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二、服务内容及技术要求</w:t>
      </w:r>
    </w:p>
    <w:p w14:paraId="7A394561">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成交供应商对我公司提供的EHTQ颗粒进行毒理学研究试验，试验严格遵循广西壮族自治区药品监督管理局医疗机构制剂申报备案相关规定，开展单次给药毒性试验、重复给药毒性试验</w:t>
      </w:r>
      <w:r>
        <w:rPr>
          <w:rFonts w:hint="eastAsia" w:ascii="仿宋_GB2312" w:hAnsi="仿宋_GB2312" w:eastAsia="仿宋_GB2312" w:cs="仿宋_GB2312"/>
          <w:sz w:val="32"/>
          <w:szCs w:val="32"/>
          <w:lang w:eastAsia="zh-CN"/>
        </w:rPr>
        <w:t>，</w:t>
      </w:r>
      <w:bookmarkStart w:id="0" w:name="_GoBack"/>
      <w:bookmarkEnd w:id="0"/>
      <w:r>
        <w:rPr>
          <w:rFonts w:hint="eastAsia" w:ascii="仿宋_GB2312" w:hAnsi="仿宋_GB2312" w:eastAsia="仿宋_GB2312" w:cs="仿宋_GB2312"/>
          <w:sz w:val="32"/>
          <w:szCs w:val="32"/>
        </w:rPr>
        <w:t>其中重复给药毒性试验给药时间不低于3个月。医疗机构中药民族药制剂安全性试验的具体试验办法、实验动物、受试药物、试验分组、给药途径、给药剂量、给药频率、观察指标、统计分析等，应符合原国家食品药品监督管理总局《关于对医疗机构应用传统工艺配制中药制剂实施备案管理的公告》（2018年第19号）、广西壮族自治区药品监督管理局发布的《广西医疗机构应用传统工艺配制中药民族药制剂备案管理实施细则》等相关规定及国家药品监督管理局发布的毒性研究技术指导原则等相关要求。</w:t>
      </w:r>
    </w:p>
    <w:p w14:paraId="3EF60D54">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成交供应商需负责项目设计、统筹、协调，出具试验方案、人员组成、时间计划等内容，并按约定的时间进度完成毒理学研究工作，在研究完成后出具符合国家相关规范的实验报告并负责相关审核单位的质询。</w:t>
      </w:r>
    </w:p>
    <w:p w14:paraId="52D2ED7E">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三、商务要求</w:t>
      </w:r>
    </w:p>
    <w:p w14:paraId="1EE51B3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实施工作要求：在合同签订后按双方确认的试验方案组织实施，试验过程须严格遵守双方约定的SOP及质量控制标准，研究工作严格符合原国家食品药品监督管理总局《关于对医疗机构应用传统工艺配制中药制剂实施备案管理的公告》（2018年第19号）、《广西医疗机构应用传统工艺配制中药民族药制剂备案管理实施细则》及国家药品监督管理局发布的毒性研究技术指导原则等相关技术要求。开发成果交付的形式及数量：提供相应的研究报告，该资料必须符合现场核查和技术审评的要求，供应商须配合完成后续广西药监部门制剂备案审评过程中的技术答疑工作，以及可能的补充试验或数据发补工作（如有）。成交供应商负责服务过程文件和病理标本的规范整理与留存，成交供应商免费保存至获得新的批准证书后五年。免费保存到期时，成交供应商应书面通知我公司，我公司有权自行处置或委托成交供应商继续保存，如需委托供应商继续保存的，具体事项和费用另行协商。</w:t>
      </w:r>
    </w:p>
    <w:p w14:paraId="4F9DD5FA">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服务时间及地点：自样品接收且首笔款支付后6个月内，乙方向甲方正式交付试验研究资料。服务地点由成交供应商提供具有资质的实验场地。</w:t>
      </w:r>
    </w:p>
    <w:p w14:paraId="30A05AB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付款方式：合同签字盖章生效后7个工作日内，我公司支付合同总款的60%作为首付款；成交供应商完成所有试验研究并向我公司交付电子版总结报告初稿，经我公司审核通过之日起10个工作日内，向成交供应商支付剩余试验费用；支付后7日内，成交供应商向我公司提供盖章的正式纸质总结报告。</w:t>
      </w:r>
    </w:p>
    <w:p w14:paraId="275E96A2">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报价要求：实行总包制，本次报价须为人民币报价，包含实验试剂、耗材、实验动物、人员薪酬、税费等完成全套研究及资料交付所需的全部费用，须提供等额正规发票。本项目采购控制价由采购人在正式采购时确定；谈判响应报价超过采购控制价的按无效响应处理。</w:t>
      </w:r>
    </w:p>
    <w:p w14:paraId="6C55AAD5">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规范标准：服务过程符合原国家食品药品监督管理总局《关于对医疗机构应用传统工艺配制中药制剂实施备案管理的公告》（2018年第19号）及《广西医疗机构应用传统工艺配制中药民族药制剂备案管理实施细则》及国家药品监督管理局发布的毒性研究技术指导原则等相关法律法规和行业标准。</w:t>
      </w:r>
    </w:p>
    <w:p w14:paraId="10B12B39">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验收标准：成交供应商在收到第一笔款项后开展研究工作，在6个月内完成所有试验研究，并向我公司交付电子版总结报告初稿，审核通过后向我公司提供正式纸质总结报告及相关附件材料。试验报告及原始数据须满足广西壮族自治区药品监督管理局对医疗机构制剂备案申报资料的技术审查要求，并通过我公司审核确认。该资料必须加盖单位公章。如试验资料或原始资料因真实性问题未符合相关审核单位的技术审评或现场考核，成交供应商全额退回所有研究费用，并承担相关责任。</w:t>
      </w:r>
    </w:p>
    <w:p w14:paraId="0C9024C2">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四、其他要求</w:t>
      </w:r>
    </w:p>
    <w:p w14:paraId="7F7C63E7">
      <w:pPr>
        <w:spacing w:after="6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合同以外要求由双方另行协商。</w:t>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133F7">
    <w:pPr>
      <w:jc w:val="center"/>
    </w:pPr>
    <w:r>
      <w:rPr>
        <w:rFonts w:ascii="Times New Roman" w:hAnsi="Times New Roman" w:eastAsia="思源黑体" w:cs="Times New Roman"/>
      </w:rPr>
      <w:t xml:space="preserve">第 </w:t>
    </w:r>
    <w:r>
      <w:rPr>
        <w:rFonts w:ascii="Times New Roman" w:hAnsi="Times New Roman" w:eastAsia="思源黑体" w:cs="Times New Roman"/>
      </w:rPr>
      <w:fldChar w:fldCharType="begin"/>
    </w:r>
    <w:r>
      <w:rPr>
        <w:rFonts w:ascii="Times New Roman" w:hAnsi="Times New Roman" w:eastAsia="思源黑体" w:cs="Times New Roman"/>
      </w:rPr>
      <w:instrText xml:space="preserve">PAGE</w:instrText>
    </w:r>
    <w:r>
      <w:rPr>
        <w:rFonts w:ascii="Times New Roman" w:hAnsi="Times New Roman" w:eastAsia="思源黑体" w:cs="Times New Roman"/>
      </w:rPr>
      <w:fldChar w:fldCharType="separate"/>
    </w:r>
    <w:r>
      <w:rPr>
        <w:rFonts w:ascii="Times New Roman" w:hAnsi="Times New Roman" w:eastAsia="思源黑体" w:cs="Times New Roman"/>
      </w:rPr>
      <w:fldChar w:fldCharType="end"/>
    </w:r>
    <w:r>
      <w:rPr>
        <w:rFonts w:ascii="Times New Roman" w:hAnsi="Times New Roman" w:eastAsia="思源黑体" w:cs="Times New Roman"/>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ompat>
    <w:useFELayout/>
    <w:compatSetting w:name="compatibilityMode" w:uri="http://schemas.microsoft.com/office/word" w:val="15"/>
  </w:compat>
  <w:rsids>
    <w:rsidRoot w:val="00000000"/>
    <w:rsid w:val="25661BBE"/>
    <w:rsid w:val="433627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spacing w:before="200" w:after="120" w:line="360" w:lineRule="auto"/>
      <w:outlineLvl w:val="0"/>
    </w:pPr>
    <w:rPr>
      <w:rFonts w:ascii="Times New Roman" w:hAnsi="Times New Roman" w:eastAsia="思源黑体" w:cs="Times New Roman"/>
      <w:b/>
      <w:bCs/>
      <w:sz w:val="30"/>
      <w:szCs w:val="30"/>
    </w:rPr>
  </w:style>
  <w:style w:type="paragraph" w:styleId="3">
    <w:name w:val="heading 2"/>
    <w:next w:val="1"/>
    <w:qFormat/>
    <w:uiPriority w:val="0"/>
    <w:pPr>
      <w:spacing w:before="160" w:after="100" w:line="360" w:lineRule="auto"/>
      <w:outlineLvl w:val="1"/>
    </w:pPr>
    <w:rPr>
      <w:rFonts w:ascii="Times New Roman" w:hAnsi="Times New Roman" w:eastAsia="思源黑体" w:cs="Times New Roman"/>
      <w:b/>
      <w:bCs/>
      <w:sz w:val="26"/>
      <w:szCs w:val="26"/>
    </w:rPr>
  </w:style>
  <w:style w:type="paragraph" w:styleId="4">
    <w:name w:val="heading 3"/>
    <w:next w:val="1"/>
    <w:qFormat/>
    <w:uiPriority w:val="0"/>
    <w:pPr>
      <w:spacing w:line="360" w:lineRule="auto"/>
    </w:pPr>
    <w:rPr>
      <w:rFonts w:ascii="Times New Roman" w:hAnsi="Times New Roman" w:eastAsia="思源黑体" w:cs="Times New Roman"/>
      <w:color w:val="1F4D78"/>
      <w:sz w:val="24"/>
      <w:szCs w:val="24"/>
    </w:rPr>
  </w:style>
  <w:style w:type="paragraph" w:styleId="5">
    <w:name w:val="heading 4"/>
    <w:next w:val="1"/>
    <w:qFormat/>
    <w:uiPriority w:val="0"/>
    <w:pPr>
      <w:spacing w:line="360" w:lineRule="auto"/>
    </w:pPr>
    <w:rPr>
      <w:rFonts w:ascii="Times New Roman" w:hAnsi="Times New Roman" w:eastAsia="思源黑体" w:cs="Times New Roman"/>
      <w:i/>
      <w:iCs/>
      <w:color w:val="2E74B5"/>
      <w:sz w:val="24"/>
      <w:szCs w:val="24"/>
    </w:rPr>
  </w:style>
  <w:style w:type="paragraph" w:styleId="6">
    <w:name w:val="heading 5"/>
    <w:next w:val="1"/>
    <w:qFormat/>
    <w:uiPriority w:val="0"/>
    <w:pPr>
      <w:spacing w:line="360" w:lineRule="auto"/>
    </w:pPr>
    <w:rPr>
      <w:rFonts w:ascii="Times New Roman" w:hAnsi="Times New Roman" w:eastAsia="思源黑体" w:cs="Times New Roman"/>
      <w:color w:val="2E74B5"/>
      <w:sz w:val="24"/>
      <w:szCs w:val="24"/>
    </w:rPr>
  </w:style>
  <w:style w:type="paragraph" w:styleId="7">
    <w:name w:val="heading 6"/>
    <w:next w:val="1"/>
    <w:qFormat/>
    <w:uiPriority w:val="0"/>
    <w:pPr>
      <w:spacing w:line="360" w:lineRule="auto"/>
    </w:pPr>
    <w:rPr>
      <w:rFonts w:ascii="Times New Roman" w:hAnsi="Times New Roman" w:eastAsia="思源黑体"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pPr>
      <w:spacing w:line="360" w:lineRule="auto"/>
    </w:pPr>
    <w:rPr>
      <w:rFonts w:ascii="Times New Roman" w:hAnsi="Times New Roman" w:eastAsia="思源黑体"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pPr>
      <w:spacing w:line="360" w:lineRule="auto"/>
    </w:pPr>
    <w:rPr>
      <w:rFonts w:ascii="Times New Roman" w:hAnsi="Times New Roman" w:eastAsia="思源黑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1549</Words>
  <Characters>1580</Characters>
  <TotalTime>0</TotalTime>
  <ScaleCrop>false</ScaleCrop>
  <LinksUpToDate>false</LinksUpToDate>
  <CharactersWithSpaces>1588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2026-09-11T03:53:00Z</dcterms:created>
  <dc:creator>Un-named</dc:creator>
  <cp:lastModifiedBy>tsunamileos</cp:lastModifiedBy>
  <dcterms:modified xsi:type="dcterms:W3CDTF">2026-09-16T03:03:51Z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{"Label":"1","ContentProducer":"001191440300708461136T1WFUO","ProduceID":"f7122281ebe4a1875352b8d97f298e1c-ujA9","ReservedCode1":"{\"Type\":\" TC260PG\",\"Version\":1,\"Bindings\":[{\"Type\":\"soft\",\"AlgID\":\"sm3\",\"Value\":\"91cfce44debd29f2f8159d042a065853d2902a6f5dc93677de3cddefd79bbc20\"},{\"Type\":\"hash\",\"AlgID\":\"sm3\",\"Value\":\"3f926ec643d2f6b12952a3f8ed4c09eb12ff0a5cb0a944eb88738879af7f2392\"}],\"PubSD\":[{\"Type\":\"DS\",\"AlgID\":\"sm2\",\"TBSData\":{\"Type\":\"Binding\",\"BType\":\"hash\"},\"Signature\":\"3045022100b1304879eecc8310cb5d40ceaf17676531e4f0f7b5344c5076f2575456230ad802205ddc658671fb08831e9825753429a1d63622acc46255af901f894abf5764c059\"},{\"Type\":\"PubKey\",\"AlgID\":\"sm2\",\"KeyValue\":\"0407f79b28a17a752b3aae4305c98b48978213832729a2571850b1310b2bc9fe8fee039ccf25ebfeac27502414d9fcef792d777183c98893d226171c2f7a3289a2\"}],\"Extension\":{\"Timestamp\":1789098860,\"KeyVersion\":\"v1-TxLeOmf7bqU223\"}}","ContentPropagator":"001191440300708461136T1WFUO","PropagateID":"f7122281ebe4a1875352b8d97f298e1c-ujA9","ReservedCode2":"{\"Type\":\" TC260PG\",\"Version\":1,\"Bindings\":[{\"Type\":\"soft\",\"AlgID\":\"sm3\",\"Value\":\"91cfce44debd29f2f8159d042a065853d2902a6f5dc93677de3cddefd79bbc20\"},{\"Type\":\"hash\",\"AlgID\":\"sm3\",\"Value\":\"3f926ec643d2f6b12952a3f8ed4c09eb12ff0a5cb0a944eb88738879af7f2392\"}],\"PubSD\":[{\"Type\":\"DS\",\"AlgID\":\"sm2\",\"TBSData\":{\"Type\":\"Binding\",\"BType\":\"hash\"},\"Signature\":\"3046022100cf5e687024e0666af76f1cec2bdf64001c25f0360a3b0d912f788fe353a9f10f022100f45101cb6fd3c0c9e45b5e78a07845232b1c3d5ee808b37ca25a49f70d6d3ef2\"},{\"Type\":\"PubKey\",\"AlgID\":\"sm2\",\"KeyValue\":\"0407f79b28a17a752b3aae4305c98b48978213832729a2571850b1310b2bc9fe8fee039ccf25ebfeac27502414d9fcef792d777183c98893d226171c2f7a3289a2\"}],\"Extension\":{\"Timestamp\":1789098860,\"KeyVersion\":\"v1-TxLeOmf7bqU223\"}}"}</vt:lpwstr>
  </property>
  <property fmtid="{D5CDD505-2E9C-101B-9397-08002B2CF9AE}" pid="3" name="KSOTemplateDocerSaveRecord">
    <vt:lpwstr>eyJoZGlkIjoiMDFhZTUxZGM0MzUxYTIwMWJmMGZhNWI5YTQ1YjI5ZTYiLCJ1c2VySWQiOiI1MzAxMDI3NTcifQ==</vt:lpwstr>
  </property>
  <property fmtid="{D5CDD505-2E9C-101B-9397-08002B2CF9AE}" pid="4" name="KSOProductBuildVer">
    <vt:lpwstr>2052-12.1.0.28505</vt:lpwstr>
  </property>
  <property fmtid="{D5CDD505-2E9C-101B-9397-08002B2CF9AE}" pid="5" name="ICV">
    <vt:lpwstr>79BCC2DE29624C8480DA410E1DFBCC2D_12</vt:lpwstr>
  </property>
</Properties>
</file>