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899B4">
      <w:pPr>
        <w:spacing w:after="100" w:line="360" w:lineRule="auto"/>
        <w:jc w:val="left"/>
      </w:pPr>
      <w:r>
        <w:rPr>
          <w:rFonts w:ascii="Times New Roman" w:hAnsi="Times New Roman" w:eastAsia="思源黑体" w:cs="Times New Roman"/>
          <w:b/>
          <w:bCs/>
          <w:sz w:val="28"/>
          <w:szCs w:val="28"/>
        </w:rPr>
        <w:t>附件1</w:t>
      </w:r>
    </w:p>
    <w:p w14:paraId="6C01FDAE">
      <w:pPr>
        <w:spacing w:after="20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b/>
          <w:bCs/>
          <w:sz w:val="36"/>
          <w:szCs w:val="36"/>
        </w:rPr>
        <w:t>采购需求及技术要求</w:t>
      </w:r>
    </w:p>
    <w:p w14:paraId="357696D4">
      <w:pPr>
        <w:pStyle w:val="2"/>
        <w:ind w:firstLine="643" w:firstLineChars="200"/>
        <w:rPr>
          <w:rFonts w:hint="eastAsia" w:ascii="仿宋_GB2312" w:hAnsi="仿宋_GB2312" w:eastAsia="仿宋_GB2312" w:cs="仿宋_GB2312"/>
          <w:b/>
          <w:bCs/>
          <w:sz w:val="32"/>
          <w:szCs w:val="32"/>
        </w:rPr>
      </w:pPr>
    </w:p>
    <w:p w14:paraId="44A76694">
      <w:pPr>
        <w:pStyle w:val="2"/>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一、项目基本情况</w:t>
      </w:r>
    </w:p>
    <w:p w14:paraId="3141CD67">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本次拟开发的</w:t>
      </w:r>
      <w:r>
        <w:rPr>
          <w:rFonts w:hint="eastAsia" w:ascii="仿宋_GB2312" w:hAnsi="仿宋_GB2312" w:eastAsia="仿宋_GB2312" w:cs="仿宋_GB2312"/>
          <w:sz w:val="32"/>
          <w:szCs w:val="32"/>
          <w:lang w:val="en-US" w:eastAsia="zh-CN"/>
        </w:rPr>
        <w:t>新药</w:t>
      </w:r>
      <w:r>
        <w:rPr>
          <w:rFonts w:hint="eastAsia" w:ascii="仿宋_GB2312" w:hAnsi="仿宋_GB2312" w:eastAsia="仿宋_GB2312" w:cs="仿宋_GB2312"/>
          <w:sz w:val="32"/>
          <w:szCs w:val="32"/>
        </w:rPr>
        <w:t>QX颗粒情况如下：</w:t>
      </w:r>
    </w:p>
    <w:p w14:paraId="40C2AF6B">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成分：黄芪、熟附子、党参、桂枝等12味药材组成，其中含毒性药材熟附子。</w:t>
      </w:r>
    </w:p>
    <w:p w14:paraId="4FAF94A9">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给药途径：口服。</w:t>
      </w:r>
    </w:p>
    <w:p w14:paraId="738F710F">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临床拟用</w:t>
      </w:r>
      <w:r>
        <w:rPr>
          <w:rFonts w:hint="eastAsia" w:ascii="仿宋_GB2312" w:hAnsi="仿宋_GB2312" w:eastAsia="仿宋_GB2312" w:cs="仿宋_GB2312"/>
          <w:strike w:val="0"/>
          <w:dstrike w:val="0"/>
          <w:color w:val="auto"/>
          <w:sz w:val="32"/>
          <w:szCs w:val="32"/>
          <w:u w:val="none"/>
          <w:shd w:val="clear" w:fill="auto"/>
        </w:rPr>
        <w:t>期限</w:t>
      </w:r>
      <w:r>
        <w:rPr>
          <w:rFonts w:hint="eastAsia" w:ascii="仿宋_GB2312" w:hAnsi="仿宋_GB2312" w:eastAsia="仿宋_GB2312" w:cs="仿宋_GB2312"/>
          <w:sz w:val="32"/>
          <w:szCs w:val="32"/>
        </w:rPr>
        <w:t>：2周～1个月。</w:t>
      </w:r>
    </w:p>
    <w:p w14:paraId="4DA8B8B4">
      <w:pPr>
        <w:pStyle w:val="2"/>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二、服务内容及技术要求</w:t>
      </w:r>
    </w:p>
    <w:p w14:paraId="7A394561">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成交供应商对我公司提供的QX颗粒进行毒理学研究试验，试验严格遵循国家药品监督管理局、广西壮族自治区药品监督管理局相关规定，开展单次给药毒性试验、重复给药毒性试验，其中重复给药毒性试验给药时间不低于3个月。具体试验</w:t>
      </w:r>
      <w:r>
        <w:rPr>
          <w:rFonts w:hint="eastAsia" w:ascii="仿宋_GB2312" w:hAnsi="仿宋_GB2312" w:eastAsia="仿宋_GB2312" w:cs="仿宋_GB2312"/>
          <w:strike w:val="0"/>
          <w:dstrike w:val="0"/>
          <w:color w:val="auto"/>
          <w:sz w:val="32"/>
          <w:szCs w:val="32"/>
          <w:u w:val="none"/>
          <w:shd w:val="clear" w:fill="auto"/>
        </w:rPr>
        <w:t>办法</w:t>
      </w:r>
      <w:r>
        <w:rPr>
          <w:rFonts w:hint="eastAsia" w:ascii="仿宋_GB2312" w:hAnsi="仿宋_GB2312" w:eastAsia="仿宋_GB2312" w:cs="仿宋_GB2312"/>
          <w:sz w:val="32"/>
          <w:szCs w:val="32"/>
        </w:rPr>
        <w:t>、实验动物、受试药物、试验分组、给药途径、给药剂量、给药频率、观察指标、统计分析等，应符合国家药品监督管理局、广西壮族自治区药品监督管理局发布的毒性研究技术指导原则等相关要求。</w:t>
      </w:r>
    </w:p>
    <w:p w14:paraId="3EF60D54">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成交供应商需负责项目设计、统筹、协调，出具试验方案、人员组成、时间计划等内容，并按约定的时间进度完成毒理学研究工作，在研究完成后出具符合国家相关规范的实验报告并负责相关审核单位的质询。</w:t>
      </w:r>
    </w:p>
    <w:p w14:paraId="52D2ED7E">
      <w:pPr>
        <w:pStyle w:val="2"/>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三、商务要求</w:t>
      </w:r>
    </w:p>
    <w:p w14:paraId="1EE51B39">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实施工作要求：在合同签订后按双方确认的试验方案组织实施，试验过程须严格遵守双方约定的SOP及质量控制标准，研究工作严格符合国家药品监督管理局、广西壮族自治区药品监督管理局发布的毒性研究技术指导原则等相关技术要求。开发成果交付的形式及数量：提供相应的研究报告，该资料必须符合现场核查和技术审评的要求，供应商须配合完成后续国家药品监督管理局或广西壮族自治区药品监督管理局相关部门审评过程中的技术答疑工作，以及可能的补充试验或数据发补工作（如有）。成交供应商负责服务过程文件和病理标本的规范整理与留存，成交供应商免费保存至获得新</w:t>
      </w:r>
      <w:r>
        <w:rPr>
          <w:rFonts w:hint="eastAsia" w:ascii="仿宋_GB2312" w:hAnsi="仿宋_GB2312" w:eastAsia="仿宋_GB2312" w:cs="仿宋_GB2312"/>
          <w:strike w:val="0"/>
          <w:dstrike w:val="0"/>
          <w:color w:val="auto"/>
          <w:sz w:val="32"/>
          <w:szCs w:val="32"/>
          <w:u w:val="none"/>
          <w:shd w:val="clear" w:fill="auto"/>
        </w:rPr>
        <w:t>的</w:t>
      </w:r>
      <w:r>
        <w:rPr>
          <w:rFonts w:hint="eastAsia" w:ascii="仿宋_GB2312" w:hAnsi="仿宋_GB2312" w:eastAsia="仿宋_GB2312" w:cs="仿宋_GB2312"/>
          <w:sz w:val="32"/>
          <w:szCs w:val="32"/>
        </w:rPr>
        <w:t>批准证书后五年。免费保存到期时，成交供应商应书面通知我公司，我公司有权自行处置或委托成交供应商继续保存，如需委托供应商继续保存的，具体事项和费用另行协商。</w:t>
      </w:r>
    </w:p>
    <w:p w14:paraId="4F9DD5FA">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服务时间及地点：自样品接收且首笔款支付后6个月内，乙方向甲方正式交付试验研究资料。服务地点</w:t>
      </w:r>
      <w:r>
        <w:rPr>
          <w:rFonts w:hint="eastAsia" w:ascii="仿宋_GB2312" w:hAnsi="仿宋_GB2312" w:eastAsia="仿宋_GB2312" w:cs="仿宋_GB2312"/>
          <w:strike w:val="0"/>
          <w:dstrike w:val="0"/>
          <w:color w:val="auto"/>
          <w:sz w:val="32"/>
          <w:szCs w:val="32"/>
          <w:u w:val="none"/>
          <w:shd w:val="clear" w:fill="auto"/>
        </w:rPr>
        <w:t>由</w:t>
      </w:r>
      <w:r>
        <w:rPr>
          <w:rFonts w:hint="eastAsia" w:ascii="仿宋_GB2312" w:hAnsi="仿宋_GB2312" w:eastAsia="仿宋_GB2312" w:cs="仿宋_GB2312"/>
          <w:sz w:val="32"/>
          <w:szCs w:val="32"/>
        </w:rPr>
        <w:t>成交供应商提供具有资质的实验场地。</w:t>
      </w:r>
    </w:p>
    <w:p w14:paraId="30A05AB9">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付款方式：合同签字盖章生效后7个工作日内，我公司支付合同总款的60%作为首付款；成交供应商完成所有试验研究并向我公司交付电子版总结报告初稿，经我公司审核通过之日起10个工作日内，向成交供应商支付剩余试验费用；支付后7日内，成交供应商向我公司提供盖章的正式纸质总结报告。</w:t>
      </w:r>
    </w:p>
    <w:p w14:paraId="275E96A2">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报价要求：实行总包制，本次报价须为人民币报价，包含实验试剂、耗材、实验动物、人员薪酬、税费等完成全套研究及资料交付所需的全部费用，须提供等额正规发票。本项目设置采购控制价人民币壹拾肆万元整（140000.00</w:t>
      </w:r>
      <w:r>
        <w:rPr>
          <w:rFonts w:hint="eastAsia" w:ascii="仿宋_GB2312" w:hAnsi="仿宋_GB2312" w:eastAsia="仿宋_GB2312" w:cs="仿宋_GB2312"/>
          <w:sz w:val="32"/>
          <w:szCs w:val="32"/>
          <w:lang w:val="en-US" w:eastAsia="zh-CN"/>
        </w:rPr>
        <w:t>元</w:t>
      </w:r>
      <w:bookmarkStart w:id="0" w:name="_GoBack"/>
      <w:bookmarkEnd w:id="0"/>
      <w:r>
        <w:rPr>
          <w:rFonts w:hint="eastAsia" w:ascii="仿宋_GB2312" w:hAnsi="仿宋_GB2312" w:eastAsia="仿宋_GB2312" w:cs="仿宋_GB2312"/>
          <w:sz w:val="32"/>
          <w:szCs w:val="32"/>
        </w:rPr>
        <w:t>），谈判响应报价超过控制价的按无效响应处理。</w:t>
      </w:r>
    </w:p>
    <w:p w14:paraId="6CD6B104">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规范标准：服务过程符合国家药品监督管理局、广西壮族自治区药品监督管理局发布的毒性研究技术指导原则等相关技术要求。</w:t>
      </w:r>
    </w:p>
    <w:p w14:paraId="10B12B39">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验收标准：成交供应商在收到第一笔款项后开展研究工作，在6个月内完成所有试验研究，并向我公司交付电子版总结报告初稿，审核通过后向我公司提供正式纸质总结报告及相关附件材料。试验报告及原始数据须满足国家药品监督管理局或广西壮族自治区药品监督管理局对申报资料的技术审查要求，并通过我公司审核确认。该资料必须加盖单位公章。如试验资料或原始资料因真实性问题未</w:t>
      </w:r>
      <w:r>
        <w:rPr>
          <w:rFonts w:hint="eastAsia" w:ascii="仿宋_GB2312" w:hAnsi="仿宋_GB2312" w:eastAsia="仿宋_GB2312" w:cs="仿宋_GB2312"/>
          <w:strike w:val="0"/>
          <w:dstrike w:val="0"/>
          <w:color w:val="auto"/>
          <w:sz w:val="32"/>
          <w:szCs w:val="32"/>
          <w:u w:val="none"/>
          <w:shd w:val="clear" w:fill="auto"/>
        </w:rPr>
        <w:t>符合</w:t>
      </w:r>
      <w:r>
        <w:rPr>
          <w:rFonts w:hint="eastAsia" w:ascii="仿宋_GB2312" w:hAnsi="仿宋_GB2312" w:eastAsia="仿宋_GB2312" w:cs="仿宋_GB2312"/>
          <w:sz w:val="32"/>
          <w:szCs w:val="32"/>
        </w:rPr>
        <w:t>相关审核单位的技术审评或现场</w:t>
      </w:r>
      <w:r>
        <w:rPr>
          <w:rFonts w:hint="eastAsia" w:ascii="仿宋_GB2312" w:hAnsi="仿宋_GB2312" w:eastAsia="仿宋_GB2312" w:cs="仿宋_GB2312"/>
          <w:strike w:val="0"/>
          <w:dstrike w:val="0"/>
          <w:color w:val="auto"/>
          <w:sz w:val="32"/>
          <w:szCs w:val="32"/>
          <w:u w:val="none"/>
          <w:shd w:val="clear" w:fill="auto"/>
        </w:rPr>
        <w:t>考</w:t>
      </w:r>
      <w:r>
        <w:rPr>
          <w:rFonts w:hint="eastAsia" w:ascii="仿宋_GB2312" w:hAnsi="仿宋_GB2312" w:eastAsia="仿宋_GB2312" w:cs="仿宋_GB2312"/>
          <w:sz w:val="32"/>
          <w:szCs w:val="32"/>
        </w:rPr>
        <w:t>核，成交供应商全额退回所有研究费用，并承担相关责任。</w:t>
      </w:r>
    </w:p>
    <w:p w14:paraId="0C9024C2">
      <w:pPr>
        <w:pStyle w:val="2"/>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四、其他要求</w:t>
      </w:r>
    </w:p>
    <w:p w14:paraId="7F7C63E7">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w:t>
      </w:r>
      <w:r>
        <w:rPr>
          <w:rFonts w:hint="eastAsia" w:ascii="仿宋_GB2312" w:hAnsi="仿宋_GB2312" w:eastAsia="仿宋_GB2312" w:cs="仿宋_GB2312"/>
          <w:strike w:val="0"/>
          <w:dstrike w:val="0"/>
          <w:color w:val="auto"/>
          <w:sz w:val="32"/>
          <w:szCs w:val="32"/>
          <w:u w:val="none"/>
          <w:shd w:val="clear" w:fill="auto"/>
        </w:rPr>
        <w:t>以外要求</w:t>
      </w:r>
      <w:r>
        <w:rPr>
          <w:rFonts w:hint="eastAsia" w:ascii="仿宋_GB2312" w:hAnsi="仿宋_GB2312" w:eastAsia="仿宋_GB2312" w:cs="仿宋_GB2312"/>
          <w:sz w:val="32"/>
          <w:szCs w:val="32"/>
        </w:rPr>
        <w:t>由双方另行协商。</w:t>
      </w:r>
    </w:p>
    <w:sectPr>
      <w:footerReference r:id="rId3"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黑体">
    <w:altName w:val="黑体"/>
    <w:panose1 w:val="00000000000000000000"/>
    <w:charset w:val="86"/>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133F7">
    <w:pPr>
      <w:jc w:val="center"/>
    </w:pPr>
    <w:r>
      <w:rPr>
        <w:rFonts w:ascii="Times New Roman" w:hAnsi="Times New Roman" w:eastAsia="思源黑体" w:cs="Times New Roman"/>
      </w:rPr>
      <w:t xml:space="preserve">第 </w:t>
    </w:r>
    <w:r>
      <w:rPr>
        <w:rFonts w:ascii="Times New Roman" w:hAnsi="Times New Roman" w:eastAsia="思源黑体" w:cs="Times New Roman"/>
      </w:rPr>
      <w:fldChar w:fldCharType="begin"/>
    </w:r>
    <w:r>
      <w:rPr>
        <w:rFonts w:ascii="Times New Roman" w:hAnsi="Times New Roman" w:eastAsia="思源黑体" w:cs="Times New Roman"/>
      </w:rPr>
      <w:instrText xml:space="preserve">PAGE</w:instrText>
    </w:r>
    <w:r>
      <w:rPr>
        <w:rFonts w:ascii="Times New Roman" w:hAnsi="Times New Roman" w:eastAsia="思源黑体" w:cs="Times New Roman"/>
      </w:rPr>
      <w:fldChar w:fldCharType="separate"/>
    </w:r>
    <w:r>
      <w:rPr>
        <w:rFonts w:ascii="Times New Roman" w:hAnsi="Times New Roman" w:eastAsia="思源黑体" w:cs="Times New Roman"/>
      </w:rPr>
      <w:fldChar w:fldCharType="end"/>
    </w:r>
    <w:r>
      <w:rPr>
        <w:rFonts w:ascii="Times New Roman" w:hAnsi="Times New Roman" w:eastAsia="思源黑体" w:cs="Times New Roman"/>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ompat>
    <w:useFELayout/>
    <w:compatSetting w:name="compatibilityMode" w:uri="http://schemas.microsoft.com/office/word" w:val="15"/>
  </w:compat>
  <w:rsids>
    <w:rsidRoot w:val="00000000"/>
    <w:rsid w:val="03003F4D"/>
    <w:rsid w:val="0FAE72F2"/>
    <w:rsid w:val="178D1E18"/>
    <w:rsid w:val="199940DE"/>
    <w:rsid w:val="241C0548"/>
    <w:rsid w:val="33322434"/>
    <w:rsid w:val="4336273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思源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思源黑体" w:cs="Times New Roman"/>
      <w:sz w:val="24"/>
      <w:szCs w:val="24"/>
    </w:rPr>
  </w:style>
  <w:style w:type="paragraph" w:styleId="2">
    <w:name w:val="heading 1"/>
    <w:next w:val="1"/>
    <w:qFormat/>
    <w:uiPriority w:val="0"/>
    <w:pPr>
      <w:spacing w:before="200" w:after="120" w:line="360" w:lineRule="auto"/>
      <w:outlineLvl w:val="0"/>
    </w:pPr>
    <w:rPr>
      <w:rFonts w:ascii="Times New Roman" w:hAnsi="Times New Roman" w:eastAsia="思源黑体" w:cs="Times New Roman"/>
      <w:b/>
      <w:bCs/>
      <w:sz w:val="30"/>
      <w:szCs w:val="30"/>
    </w:rPr>
  </w:style>
  <w:style w:type="paragraph" w:styleId="3">
    <w:name w:val="heading 2"/>
    <w:next w:val="1"/>
    <w:qFormat/>
    <w:uiPriority w:val="0"/>
    <w:pPr>
      <w:spacing w:before="160" w:after="100" w:line="360" w:lineRule="auto"/>
      <w:outlineLvl w:val="1"/>
    </w:pPr>
    <w:rPr>
      <w:rFonts w:ascii="Times New Roman" w:hAnsi="Times New Roman" w:eastAsia="思源黑体" w:cs="Times New Roman"/>
      <w:b/>
      <w:bCs/>
      <w:sz w:val="26"/>
      <w:szCs w:val="26"/>
    </w:rPr>
  </w:style>
  <w:style w:type="paragraph" w:styleId="4">
    <w:name w:val="heading 3"/>
    <w:next w:val="1"/>
    <w:qFormat/>
    <w:uiPriority w:val="0"/>
    <w:pPr>
      <w:spacing w:line="360" w:lineRule="auto"/>
    </w:pPr>
    <w:rPr>
      <w:rFonts w:ascii="Times New Roman" w:hAnsi="Times New Roman" w:eastAsia="思源黑体" w:cs="Times New Roman"/>
      <w:color w:val="1F4D78"/>
      <w:sz w:val="24"/>
      <w:szCs w:val="24"/>
    </w:rPr>
  </w:style>
  <w:style w:type="paragraph" w:styleId="5">
    <w:name w:val="heading 4"/>
    <w:next w:val="1"/>
    <w:qFormat/>
    <w:uiPriority w:val="0"/>
    <w:pPr>
      <w:spacing w:line="360" w:lineRule="auto"/>
    </w:pPr>
    <w:rPr>
      <w:rFonts w:ascii="Times New Roman" w:hAnsi="Times New Roman" w:eastAsia="思源黑体" w:cs="Times New Roman"/>
      <w:i/>
      <w:iCs/>
      <w:color w:val="2E74B5"/>
      <w:sz w:val="24"/>
      <w:szCs w:val="24"/>
    </w:rPr>
  </w:style>
  <w:style w:type="paragraph" w:styleId="6">
    <w:name w:val="heading 5"/>
    <w:next w:val="1"/>
    <w:qFormat/>
    <w:uiPriority w:val="0"/>
    <w:pPr>
      <w:spacing w:line="360" w:lineRule="auto"/>
    </w:pPr>
    <w:rPr>
      <w:rFonts w:ascii="Times New Roman" w:hAnsi="Times New Roman" w:eastAsia="思源黑体" w:cs="Times New Roman"/>
      <w:color w:val="2E74B5"/>
      <w:sz w:val="24"/>
      <w:szCs w:val="24"/>
    </w:rPr>
  </w:style>
  <w:style w:type="paragraph" w:styleId="7">
    <w:name w:val="heading 6"/>
    <w:next w:val="1"/>
    <w:qFormat/>
    <w:uiPriority w:val="0"/>
    <w:pPr>
      <w:spacing w:line="360" w:lineRule="auto"/>
    </w:pPr>
    <w:rPr>
      <w:rFonts w:ascii="Times New Roman" w:hAnsi="Times New Roman" w:eastAsia="思源黑体" w:cs="Times New Roman"/>
      <w:color w:val="1F4D78"/>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思源黑体" w:cs="Times New Roman"/>
      <w:sz w:val="20"/>
      <w:szCs w:val="20"/>
    </w:rPr>
  </w:style>
  <w:style w:type="paragraph" w:styleId="9">
    <w:name w:val="footnote text"/>
    <w:link w:val="17"/>
    <w:semiHidden/>
    <w:unhideWhenUsed/>
    <w:qFormat/>
    <w:uiPriority w:val="99"/>
    <w:pPr>
      <w:spacing w:after="0" w:line="240" w:lineRule="auto"/>
    </w:pPr>
    <w:rPr>
      <w:rFonts w:ascii="Times New Roman" w:hAnsi="Times New Roman" w:eastAsia="思源黑体" w:cs="Times New Roman"/>
      <w:sz w:val="20"/>
      <w:szCs w:val="20"/>
    </w:rPr>
  </w:style>
  <w:style w:type="paragraph" w:styleId="10">
    <w:name w:val="Title"/>
    <w:qFormat/>
    <w:uiPriority w:val="0"/>
    <w:pPr>
      <w:spacing w:line="360" w:lineRule="auto"/>
    </w:pPr>
    <w:rPr>
      <w:rFonts w:ascii="Times New Roman" w:hAnsi="Times New Roman" w:eastAsia="思源黑体" w:cs="Times New Roman"/>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pPr>
      <w:spacing w:line="360" w:lineRule="auto"/>
    </w:pPr>
    <w:rPr>
      <w:rFonts w:ascii="Times New Roman" w:hAnsi="Times New Roman" w:eastAsia="思源黑体" w:cs="Times New Roman"/>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1345</Words>
  <Characters>1370</Characters>
  <TotalTime>1</TotalTime>
  <ScaleCrop>false</ScaleCrop>
  <LinksUpToDate>false</LinksUpToDate>
  <CharactersWithSpaces>1378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2026-09-11T03:53:00Z</dcterms:created>
  <dc:creator>Un-named</dc:creator>
  <cp:lastModifiedBy>tsunamileos</cp:lastModifiedBy>
  <dcterms:modified xsi:type="dcterms:W3CDTF">2026-09-16T03:26:17Z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{"Label":"1","ContentProducer":"001191440300708461136T1WFUO","ProduceID":"f7122281ebe4a1875352b8d97f298e1c-ujA9","ReservedCode1":"{\"Type\":\" TC260PG\",\"Version\":1,\"Bindings\":[{\"Type\":\"soft\",\"AlgID\":\"sm3\",\"Value\":\"91cfce44debd29f2f8159d042a065853d2902a6f5dc93677de3cddefd79bbc20\"},{\"Type\":\"hash\",\"AlgID\":\"sm3\",\"Value\":\"3f926ec643d2f6b12952a3f8ed4c09eb12ff0a5cb0a944eb88738879af7f2392\"}],\"PubSD\":[{\"Type\":\"DS\",\"AlgID\":\"sm2\",\"TBSData\":{\"Type\":\"Binding\",\"BType\":\"hash\"},\"Signature\":\"3045022100b1304879eecc8310cb5d40ceaf17676531e4f0f7b5344c5076f2575456230ad802205ddc658671fb08831e9825753429a1d63622acc46255af901f894abf5764c059\"},{\"Type\":\"PubKey\",\"AlgID\":\"sm2\",\"KeyValue\":\"0407f79b28a17a752b3aae4305c98b48978213832729a2571850b1310b2bc9fe8fee039ccf25ebfeac27502414d9fcef792d777183c98893d226171c2f7a3289a2\"}],\"Extension\":{\"Timestamp\":1789098860,\"KeyVersion\":\"v1-TxLeOmf7bqU223\"}}","ContentPropagator":"001191440300708461136T1WFUO","PropagateID":"f7122281ebe4a1875352b8d97f298e1c-ujA9","ReservedCode2":"{\"Type\":\" TC260PG\",\"Version\":1,\"Bindings\":[{\"Type\":\"soft\",\"AlgID\":\"sm3\",\"Value\":\"91cfce44debd29f2f8159d042a065853d2902a6f5dc93677de3cddefd79bbc20\"},{\"Type\":\"hash\",\"AlgID\":\"sm3\",\"Value\":\"3f926ec643d2f6b12952a3f8ed4c09eb12ff0a5cb0a944eb88738879af7f2392\"}],\"PubSD\":[{\"Type\":\"DS\",\"AlgID\":\"sm2\",\"TBSData\":{\"Type\":\"Binding\",\"BType\":\"hash\"},\"Signature\":\"3046022100cf5e687024e0666af76f1cec2bdf64001c25f0360a3b0d912f788fe353a9f10f022100f45101cb6fd3c0c9e45b5e78a07845232b1c3d5ee808b37ca25a49f70d6d3ef2\"},{\"Type\":\"PubKey\",\"AlgID\":\"sm2\",\"KeyValue\":\"0407f79b28a17a752b3aae4305c98b48978213832729a2571850b1310b2bc9fe8fee039ccf25ebfeac27502414d9fcef792d777183c98893d226171c2f7a3289a2\"}],\"Extension\":{\"Timestamp\":1789098860,\"KeyVersion\":\"v1-TxLeOmf7bqU223\"}}"}</vt:lpwstr>
  </property>
  <property fmtid="{D5CDD505-2E9C-101B-9397-08002B2CF9AE}" pid="3" name="KSOTemplateDocerSaveRecord">
    <vt:lpwstr>eyJoZGlkIjoiMDFhZTUxZGM0MzUxYTIwMWJmMGZhNWI5YTQ1YjI5ZTYiLCJ1c2VySWQiOiI1MzAxMDI3NTcifQ==</vt:lpwstr>
  </property>
  <property fmtid="{D5CDD505-2E9C-101B-9397-08002B2CF9AE}" pid="4" name="KSOProductBuildVer">
    <vt:lpwstr>2052-12.1.0.28505</vt:lpwstr>
  </property>
  <property fmtid="{D5CDD505-2E9C-101B-9397-08002B2CF9AE}" pid="5" name="ICV">
    <vt:lpwstr>79BCC2DE29624C8480DA410E1DFBCC2D_12</vt:lpwstr>
  </property>
  <property fmtid="{D5CDD505-2E9C-101B-9397-08002B2CF9AE}" pid="6" name="OfficeAIDocId">
    <vt:lpwstr>DOC_1772e835812246868c32e0725bace5e5</vt:lpwstr>
  </property>
</Properties>
</file>